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GeoRace_Architecture</w:t>
      </w:r>
    </w:p>
    <w:p>
      <w:pPr>
        <w:pStyle w:val="Author"/>
      </w:pPr>
      <w:r>
        <w:t xml:space="preserve">TLX542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architecture-mvp"/>
    <w:p>
      <w:pPr>
        <w:pStyle w:val="Heading1"/>
      </w:pPr>
      <w:r>
        <w:t xml:space="preserve">Architecture MVP</w:t>
      </w:r>
    </w:p>
    <w:p>
      <w:pPr>
        <w:pStyle w:val="CaptionedFigure"/>
      </w:pPr>
      <w:r>
        <w:drawing>
          <wp:inline>
            <wp:extent cx="5334000" cy="1694089"/>
            <wp:effectExtent b="0" l="0" r="0" t="0"/>
            <wp:docPr descr="Architecture" title="" id="21" name="Picture"/>
            <a:graphic>
              <a:graphicData uri="http://schemas.openxmlformats.org/drawingml/2006/picture">
                <pic:pic>
                  <pic:nvPicPr>
                    <pic:cNvPr descr="assets/architectu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Architecture</w:t>
      </w:r>
    </w:p>
    <w:p>
      <w:pPr>
        <w:numPr>
          <w:ilvl w:val="0"/>
          <w:numId w:val="1001"/>
        </w:numPr>
        <w:pStyle w:val="Compact"/>
      </w:pPr>
      <w:r>
        <w:t xml:space="preserve">WebSocket pour positions haute fréquence</w:t>
      </w:r>
    </w:p>
    <w:p>
      <w:pPr>
        <w:numPr>
          <w:ilvl w:val="0"/>
          <w:numId w:val="1001"/>
        </w:numPr>
        <w:pStyle w:val="Compact"/>
      </w:pPr>
      <w:r>
        <w:t xml:space="preserve">PostGIS pour géospatial</w:t>
      </w:r>
    </w:p>
    <w:p>
      <w:pPr>
        <w:numPr>
          <w:ilvl w:val="0"/>
          <w:numId w:val="1001"/>
        </w:numPr>
        <w:pStyle w:val="Compact"/>
      </w:pPr>
      <w:r>
        <w:t xml:space="preserve">Kubernetes auto-scaling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GeoRace_Architecture</dc:title>
  <dc:creator>TLX542</dc:creator>
  <cp:keywords/>
  <dcterms:created xsi:type="dcterms:W3CDTF">2026-02-10T11:38:03Z</dcterms:created>
  <dcterms:modified xsi:type="dcterms:W3CDTF">2026-02-10T11:38:03Z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