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GeoRace_Architecture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architecture-mvp"/>
    <w:p>
      <w:pPr>
        <w:pStyle w:val="Heading1"/>
      </w:pPr>
      <w:r>
        <w:t xml:space="preserve">Architecture MVP</w:t>
      </w:r>
    </w:p>
    <w:p>
      <w:pPr>
        <w:pStyle w:val="CaptionedFigure"/>
      </w:pPr>
      <w:r>
        <w:drawing>
          <wp:inline>
            <wp:extent cx="5334000" cy="1694089"/>
            <wp:effectExtent b="0" l="0" r="0" t="0"/>
            <wp:docPr descr="Architecture" title="" id="21" name="Picture"/>
            <a:graphic>
              <a:graphicData uri="http://schemas.openxmlformats.org/drawingml/2006/picture">
                <pic:pic>
                  <pic:nvPicPr>
                    <pic:cNvPr descr="assets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numPr>
          <w:ilvl w:val="0"/>
          <w:numId w:val="1001"/>
        </w:numPr>
        <w:pStyle w:val="Compact"/>
      </w:pPr>
      <w:r>
        <w:t xml:space="preserve">WebSocket pour positions haute fréquence</w:t>
      </w:r>
    </w:p>
    <w:p>
      <w:pPr>
        <w:numPr>
          <w:ilvl w:val="0"/>
          <w:numId w:val="1001"/>
        </w:numPr>
        <w:pStyle w:val="Compact"/>
      </w:pPr>
      <w:r>
        <w:t xml:space="preserve">PostGIS pour géospatial</w:t>
      </w:r>
    </w:p>
    <w:p>
      <w:pPr>
        <w:numPr>
          <w:ilvl w:val="0"/>
          <w:numId w:val="1001"/>
        </w:numPr>
        <w:pStyle w:val="Compact"/>
      </w:pPr>
      <w:r>
        <w:t xml:space="preserve">Kubernetes auto-scaling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GeoRace_Architecture</dc:title>
  <dc:creator>TLX542</dc:creator>
  <cp:keywords/>
  <dcterms:created xsi:type="dcterms:W3CDTF">2026-02-10T10:36:27Z</dcterms:created>
  <dcterms:modified xsi:type="dcterms:W3CDTF">2026-02-10T10:36:27Z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