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Nome do Candidato: Thiago Laidler</w:t>
      </w:r>
    </w:p>
    <w:p w:rsidR="00000000" w:rsidDel="00000000" w:rsidP="00000000" w:rsidRDefault="00000000" w:rsidRPr="00000000" w14:paraId="00000002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de nascimento: 08/10/1998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Bairro/Cidade/Estado: Copacabana, RJ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Celular: 21 995303297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thiagolaidler@gmail.com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Linkedin: https://www.linkedin.com/in/thiago-laidler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Resumo das Qualificações  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de 2 anos de experiência no mercado financeiro, com atuação em análise quantitativa, risco, performance e infraestrutura de dados em gestora de recursos.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no monitoramento de risco e performance de fundo multimercado com volume anual superior a US$ 1 bilhão, apoiando decisões de alocação e garantindo conformidade operacional e regulatória.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Sólidos conhecimentos em Python, SQL, Excel e tecnologias em nuvem (Azure), aplicados à automação de processos, integração de bases de dados e construção de soluções analíticas.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pela implementação de pipelines de dados e dashboards para acompanhamento em tempo real de posições, exposições e indicadores operacionais, aumentando a confiabilidade e a auditabilidade das informações.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Liderou iniciativas de automação que reduziram em mais de 60% o tempo de conciliação do valor patrimonial (NAV), fortalecendo controles e mitigando riscos operacionais.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Formação em Astrofísica com experiência em pesquisa científica e aplicação de técnicas de Machine Learning, estatística e análise de dados em projetos acadêmicos e profissionais. Perfil analítico e orientado a resultados, com facilidade para resolver problemas complexos e traduzir temas técnicos para diferentes públicos.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Experiência Profissional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TRANSFERO ASSET MANAGEMENT (01/2024 – Atual)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Gestora recursos com atuação em estratégias multimercado e ativos digitais, regulada pela CVM.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Rio de Janeiro – RJ.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Cargo: Analista Quantitativo Pleno (04/2025 – Atual)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responsabilidades: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Monitoramento e análise de risco, performance e exposições de fundo multimercado com volume anual aproximado de USD 1 bilhão, apoiando decisões de investimento.</w:t>
        <w:br w:type="textWrapping"/>
        <w:t xml:space="preserve">• Desenvolvimento, validação e acompanhamento de estratégias quantitativas utilizando Python e técnicas estatísticas.</w:t>
        <w:br w:type="textWrapping"/>
        <w:t xml:space="preserve">• Construção e manutenção de pipelines de dados e dashboards para monitoramento de portfólio, indicadores de risco e suporte à gestão.</w:t>
        <w:br w:type="textWrapping"/>
        <w:t xml:space="preserve">• Automação de processos operacionais e de controle, reduzindo em mais de 60% o tempo de conciliação do valor patrimonial (NAV) e aumentando a confiabilidade das informações.</w:t>
        <w:br w:type="textWrapping"/>
        <w:t xml:space="preserve">• Atuou na execução e acompanhamento de operações de câmbio em períodos de cobertura da mesa, contribuindo com análises quantitativas, monitoramento de mercado e gestão da exposição do portfólio.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Cargo: Analista de Middle Office (Estágio de Pós-Graduação) (01/2024 – 04/2025)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responsabilidades: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Automatização de processos críticos de caixa e reconciliação utilizando Python, SQL e Excel/VBA, reduzindo tempo de fechamento e risco operacional.</w:t>
        <w:br w:type="textWrapping"/>
        <w:t xml:space="preserve">• Desenvolvimento de integrações entre diferentes bases de dados para geração de relatórios gerenciais e apoio à tomada de decisão.</w:t>
        <w:br w:type="textWrapping"/>
        <w:t xml:space="preserve">• Acompanhamento de métricas de performance, liquidez e controles operacionais de fundos multimercado.</w:t>
        <w:br w:type="textWrapping"/>
        <w:t xml:space="preserve">• Suporte à validação diária de posições e movimentações financeiras junto a administradores e custodiantes.</w:t>
        <w:br w:type="textWrapping"/>
        <w:t xml:space="preserve">• Desenvolvimento de scripts e rotinas de extração de dados via APIs e fontes externas, realizando tratamento e padronização das informações para análises de mercado, estudos quantitativos e suporte às atividades de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OBSERVATÓRIO NACIONAL – MCTI (03/2024 – 04/2026)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Instituição federal de pesquisa em Astronomia e Geofísica vinculado ao Ministério da Ciência,  Tecnologia e Inovação.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Rio de Janeiro – RJ.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Cargo: Pesquisador Mestrado Stricto Sensu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Desenvolvimento de modelos de Machine Learning (aprendizado de máquina) para detecção e classificação de curvas de luz;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Construção de pipelines para processamento e análise de séries temporais;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Aplicação de estatística para validação de resultados científicos;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Elaboração de artigos, apresentações técnicas e comunicação de resultados.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UNIVERSIDADE FEDERAL DO RIO DE JANEIRO – PIBIC/CNPq (10/2020 – 01/2023)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Programa de Iniciação Científica (Estágio) voltado ao desenvolvimento de pesquisa aplicada em Astrofísica Computacional.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Rio de Janeiro – RJ.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Cargo: Pesquisador Estagiário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responsabilidades: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• Análise e modelagem de dados observacionais utilizando Python.</w:t>
        <w:br w:type="textWrapping"/>
        <w:t xml:space="preserve">• Desenvolvimento de rotinas para tratamento, limpeza e interpretação de séries temporais astronômicas.</w:t>
        <w:br w:type="textWrapping"/>
        <w:t xml:space="preserve">• Aplicação de técnicas estatísticas para extração de informações e validação de resultados experimentais.</w:t>
        <w:br w:type="textWrapping"/>
        <w:t xml:space="preserve">• Elaboração de apresentações e relatórios técnicos para eventos científicos e avaliação por pares.</w:t>
        <w:br w:type="textWrapping"/>
        <w:t xml:space="preserve">• Coautoria de artigo científico publicado em periódico internacional de alto impacto na área de Astrofísica (MNRAS – Oxford Academic).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Formação Acadêmica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Mestrado em Astrofísica Computacional e Machine Learning | Observatório Nacional (MCTI) (2026);</w:t>
        <w:br w:type="textWrapping"/>
        <w:t xml:space="preserve">• Bacharelado em Astronomia/Astrofísica | Universidade Federal do Rio de Janeiro – UFRJ (2023);</w:t>
        <w:br w:type="textWrapping"/>
        <w:t xml:space="preserve">• Bacharelado em Ciência da Computação (incompleto) | Universidade Federal do Rio de Janeiro – UFRJ.</w:t>
      </w:r>
    </w:p>
    <w:p w:rsidR="00000000" w:rsidDel="00000000" w:rsidP="00000000" w:rsidRDefault="00000000" w:rsidRPr="00000000" w14:paraId="0000002C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Idiomas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Português: Língua materna;</w:t>
        <w:br w:type="textWrapping"/>
        <w:t xml:space="preserve">• Inglês: Fluente.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Certificações e Cursos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CEA – Certificação de Especialista em Investimentos | ANBIMA;</w:t>
        <w:br w:type="textWrapping"/>
        <w:t xml:space="preserve">• Bootcamp Data Science | Santander (89h);</w:t>
        <w:br w:type="textWrapping"/>
        <w:t xml:space="preserve">• Foundations of Finance | Aswath Damodaran;</w:t>
        <w:br w:type="textWrapping"/>
        <w:t xml:space="preserve">• Competence in English | Oxford University Press;</w:t>
        <w:br w:type="textWrapping"/>
        <w:t xml:space="preserve">• Python Tools for Financial Market Analysis | DataLab.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Pacote de Remuneração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9">
      <w:pPr>
        <w:tabs>
          <w:tab w:val="left" w:leader="none" w:pos="6270"/>
          <w:tab w:val="left" w:leader="none" w:pos="7998"/>
        </w:tabs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270"/>
          <w:tab w:val="left" w:leader="none" w:pos="7998"/>
        </w:tabs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270"/>
          <w:tab w:val="left" w:leader="none" w:pos="7998"/>
        </w:tabs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</w:p>
    <w:tbl>
      <w:tblPr>
        <w:tblStyle w:val="Table1"/>
        <w:tblW w:w="9271.0" w:type="dxa"/>
        <w:jc w:val="left"/>
        <w:tblInd w:w="75.0" w:type="dxa"/>
        <w:tblBorders>
          <w:top w:color="4f185a" w:space="0" w:sz="24" w:val="single"/>
          <w:left w:color="4f185a" w:space="0" w:sz="24" w:val="single"/>
          <w:bottom w:color="4f185a" w:space="0" w:sz="24" w:val="single"/>
          <w:right w:color="4f185a" w:space="0" w:sz="24" w:val="single"/>
        </w:tblBorders>
        <w:tblLayout w:type="fixed"/>
        <w:tblLook w:val="0400"/>
      </w:tblPr>
      <w:tblGrid>
        <w:gridCol w:w="1547"/>
        <w:gridCol w:w="2718"/>
        <w:gridCol w:w="1942"/>
        <w:gridCol w:w="3064"/>
        <w:tblGridChange w:id="0">
          <w:tblGrid>
            <w:gridCol w:w="1547"/>
            <w:gridCol w:w="2718"/>
            <w:gridCol w:w="1942"/>
            <w:gridCol w:w="3064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4"/>
            <w:tcBorders>
              <w:top w:color="4f185a" w:space="0" w:sz="8" w:val="single"/>
              <w:left w:color="4f185a" w:space="0" w:sz="8" w:val="single"/>
              <w:bottom w:color="000000" w:space="0" w:sz="0" w:val="nil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  <w:rtl w:val="0"/>
              </w:rPr>
              <w:t xml:space="preserve">Remuneração fixa: R$8.300,00 (PJ)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4"/>
            <w:tcBorders>
              <w:top w:color="000000" w:space="0" w:sz="0" w:val="nil"/>
              <w:left w:color="4f185a" w:space="0" w:sz="8" w:val="single"/>
              <w:bottom w:color="000000" w:space="0" w:sz="0" w:val="nil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  <w:rtl w:val="0"/>
              </w:rPr>
              <w:t xml:space="preserve">Comissão/Variável: 0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4"/>
            <w:tcBorders>
              <w:top w:color="000000" w:space="0" w:sz="0" w:val="nil"/>
              <w:left w:color="4f185a" w:space="0" w:sz="8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  <w:rtl w:val="0"/>
              </w:rPr>
              <w:t xml:space="preserve">PLR ou bonificação anual: estimada para R$ 30.000,00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4"/>
            <w:tcBorders>
              <w:top w:color="000000" w:space="0" w:sz="0" w:val="nil"/>
              <w:left w:color="4f185a" w:space="0" w:sz="8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  <w:u w:val="single"/>
                <w:rtl w:val="0"/>
              </w:rPr>
              <w:t xml:space="preserve">Expectativa salarial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  <w:rtl w:val="0"/>
              </w:rPr>
              <w:t xml:space="preserve">: R$ 10.000,00 a 12.000,00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gridSpan w:val="4"/>
            <w:tcBorders>
              <w:top w:color="4f185a" w:space="0" w:sz="8" w:val="single"/>
              <w:left w:color="4f185a" w:space="0" w:sz="8" w:val="single"/>
              <w:bottom w:color="4f185a" w:space="0" w:sz="8" w:val="single"/>
              <w:right w:color="4f185a" w:space="0" w:sz="8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Benefícios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Assistência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Médica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Veículo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Assistência Odontológica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Combustível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Vale Alimentação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4f185a"/>
                <w:sz w:val="18"/>
                <w:szCs w:val="18"/>
                <w:rtl w:val="0"/>
              </w:rPr>
              <w:t xml:space="preserve">600,00</w:t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Estacionamento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Vale Refeição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4f185a"/>
                <w:sz w:val="18"/>
                <w:szCs w:val="18"/>
                <w:rtl w:val="0"/>
              </w:rPr>
              <w:t xml:space="preserve">400,00</w:t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Auxilio Moradia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Mobilidade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Incentivo de Longo Prazo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Celular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Auxilio Farmácia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Notebook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4f185a"/>
                <w:sz w:val="18"/>
                <w:szCs w:val="18"/>
                <w:rtl w:val="0"/>
              </w:rPr>
              <w:t xml:space="preserve">Notebook da empresa</w:t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Seguro de Vida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Previdência Privada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4f185a"/>
                <w:sz w:val="18"/>
                <w:szCs w:val="18"/>
                <w:rtl w:val="0"/>
              </w:rPr>
              <w:t xml:space="preserve">R$ 160,00</w:t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Creche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Auxilio Home Office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adada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Auxílio Educação</w:t>
            </w:r>
          </w:p>
        </w:tc>
        <w:tc>
          <w:tcPr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ahoma" w:cs="Tahoma" w:eastAsia="Tahoma" w:hAnsi="Tahoma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adadad" w:space="0" w:sz="4" w:val="single"/>
              <w:left w:color="adadad" w:space="0" w:sz="4" w:val="single"/>
              <w:bottom w:color="adadad" w:space="0" w:sz="4" w:val="single"/>
              <w:right w:color="adadad" w:space="0" w:sz="4" w:val="single"/>
            </w:tcBorders>
            <w:shd w:fill="4f185a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Outros benefícios</w:t>
            </w:r>
          </w:p>
        </w:tc>
        <w:tc>
          <w:tcPr>
            <w:gridSpan w:val="3"/>
            <w:tcBorders>
              <w:top w:color="4f185a" w:space="0" w:sz="8" w:val="single"/>
              <w:left w:color="adadad" w:space="0" w:sz="4" w:val="single"/>
              <w:bottom w:color="4f185a" w:space="0" w:sz="8" w:val="single"/>
              <w:right w:color="4f185a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ahoma" w:cs="Tahoma" w:eastAsia="Tahoma" w:hAnsi="Tahoma"/>
                <w:b w:val="1"/>
                <w:bCs w:val="1"/>
                <w:color w:val="4f185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Referências Profissionais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OBS: Por questões de confidencialidade, prefiro não compartilhar contatos de profissionais da minha empresa atual nesta etapa.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3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Referência 01: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Nome: Guilherme Kinzel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Função: Head of Crypto (ex-head da gestora Transfero Asset Management)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Empresa: Z.ro Bank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Telefone: Disponibilizarei mediante autorização da referência, caso o processo avance para a etapa de checagem formal.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Disponível mediante autorização da referência.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Linkedin: https://www.linkedin.com/in/guilhermekinzel/</w:t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3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Referência 02: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Nome: Amanda Sixel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Função: Advogada (ex-advogada da gestora Transfero Asset Management)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Empresa: CHALFIN, GOLDBERG &amp; VAINBOIM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Telefone: Disponível mediante autorização da referência.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Disponível mediante autorização da referência.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Linkedin: https://www.linkedin.com/in/amanda-sixel-86278a163/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• Referência 03: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Nome: Julio Ignacio Bueno de Camargo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Função: Pesquisador Titular em Astronomia do Programa de Pós-Graduação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Empresa: Observatório Nacional (MCTI)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Telefone: Disponível mediante autorização da referência.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Disponível mediante autorização da referência.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LinkedIn: https://br.linkedin.com/in/julio-camargo-08b577a9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134" w:top="1134" w:left="1134" w:right="1134" w:header="964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rebuchet MS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-4335487</wp:posOffset>
          </wp:positionH>
          <wp:positionV relativeFrom="paragraph">
            <wp:posOffset>257712</wp:posOffset>
          </wp:positionV>
          <wp:extent cx="11127545" cy="383540"/>
          <wp:effectExtent b="0" l="0" r="0" t="0"/>
          <wp:wrapNone/>
          <wp:docPr descr="Imagem de desenho animado&#10;&#10;Descrição gerada automaticamente com confiança média" id="6" name="image2.jpg"/>
          <a:graphic>
            <a:graphicData uri="http://schemas.openxmlformats.org/drawingml/2006/picture">
              <pic:pic>
                <pic:nvPicPr>
                  <pic:cNvPr descr="Imagem de desenho animado&#10;&#10;Descrição gerada automaticamente com confiança média" id="0" name="image2.jpg"/>
                  <pic:cNvPicPr preferRelativeResize="0"/>
                </pic:nvPicPr>
                <pic:blipFill>
                  <a:blip r:embed="rId1"/>
                  <a:srcRect b="0" l="38200" r="58784" t="0"/>
                  <a:stretch>
                    <a:fillRect/>
                  </a:stretch>
                </pic:blipFill>
                <pic:spPr>
                  <a:xfrm>
                    <a:off x="0" y="0"/>
                    <a:ext cx="11127545" cy="3835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-659446</wp:posOffset>
              </wp:positionH>
              <wp:positionV relativeFrom="paragraph">
                <wp:posOffset>334328</wp:posOffset>
              </wp:positionV>
              <wp:extent cx="2520950" cy="2393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90288" y="3665065"/>
                        <a:ext cx="2511425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Find more at www.lhh.com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-659446</wp:posOffset>
              </wp:positionH>
              <wp:positionV relativeFrom="paragraph">
                <wp:posOffset>334328</wp:posOffset>
              </wp:positionV>
              <wp:extent cx="2520950" cy="23939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0950" cy="239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-4335486</wp:posOffset>
          </wp:positionH>
          <wp:positionV relativeFrom="paragraph">
            <wp:posOffset>0</wp:posOffset>
          </wp:positionV>
          <wp:extent cx="1068070" cy="227965"/>
          <wp:effectExtent b="0" l="0" r="0" t="0"/>
          <wp:wrapSquare wrapText="bothSides" distB="0" distT="0" distL="114300" distR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070" cy="22796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i w:val="0"/>
        <w:iCs w:val="0"/>
        <w:smallCaps w:val="0"/>
        <w:strike w:val="0"/>
        <w:color w:val="4f185a"/>
        <w:sz w:val="40"/>
        <w:szCs w:val="4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8123" cy="991957"/>
          <wp:effectExtent b="0" l="0" r="0" t="0"/>
          <wp:wrapNone/>
          <wp:docPr descr="Obsah obrázku snímek obrazovky, design&#10;&#10;Obsah vygenerovaný umělou inteligencí může být nesprávný." id="7" name="image1.jpg"/>
          <a:graphic>
            <a:graphicData uri="http://schemas.openxmlformats.org/drawingml/2006/picture">
              <pic:pic>
                <pic:nvPicPr>
                  <pic:cNvPr descr="Obsah obrázku snímek obrazovky, design&#10;&#10;Obsah vygenerovaný umělou inteligencí může být nesprávný." id="0" name="image1.jpg"/>
                  <pic:cNvPicPr preferRelativeResize="0"/>
                </pic:nvPicPr>
                <pic:blipFill>
                  <a:blip r:embed="rId1"/>
                  <a:srcRect b="88643" l="0" r="0" t="0"/>
                  <a:stretch>
                    <a:fillRect/>
                  </a:stretch>
                </pic:blipFill>
                <pic:spPr>
                  <a:xfrm>
                    <a:off x="0" y="0"/>
                    <a:ext cx="7568123" cy="9919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-359726</wp:posOffset>
              </wp:positionH>
              <wp:positionV relativeFrom="paragraph">
                <wp:posOffset>-383221</wp:posOffset>
              </wp:positionV>
              <wp:extent cx="4828540" cy="4057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36493" y="3581880"/>
                        <a:ext cx="4819015" cy="39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5.99998474121094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Resumo do Candidato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-359726</wp:posOffset>
              </wp:positionH>
              <wp:positionV relativeFrom="paragraph">
                <wp:posOffset>-383221</wp:posOffset>
              </wp:positionV>
              <wp:extent cx="4828540" cy="40576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8540" cy="405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-340041</wp:posOffset>
              </wp:positionH>
              <wp:positionV relativeFrom="paragraph">
                <wp:posOffset>-233996</wp:posOffset>
              </wp:positionV>
              <wp:extent cx="4828540" cy="2438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936493" y="3662843"/>
                        <a:ext cx="481901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" w:before="120" w:line="18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4"/>
                              <w:vertAlign w:val="baseline"/>
                            </w:rPr>
                            <w:t xml:space="preserve">A beautiful working world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-340041</wp:posOffset>
              </wp:positionH>
              <wp:positionV relativeFrom="paragraph">
                <wp:posOffset>-233996</wp:posOffset>
              </wp:positionV>
              <wp:extent cx="4828540" cy="24384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8540" cy="2438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-345439</wp:posOffset>
              </wp:positionH>
              <wp:positionV relativeFrom="paragraph">
                <wp:posOffset>-291464</wp:posOffset>
              </wp:positionV>
              <wp:extent cx="12700" cy="2520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45683" y="3653953"/>
                        <a:ext cx="635" cy="252095"/>
                      </a:xfrm>
                      <a:custGeom>
                        <a:rect b="b" l="l" r="r" t="t"/>
                        <a:pathLst>
                          <a:path extrusionOk="0" h="410844" w="45085">
                            <a:moveTo>
                              <a:pt x="0" y="0"/>
                            </a:moveTo>
                            <a:lnTo>
                              <a:pt x="0" y="410527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-345439</wp:posOffset>
              </wp:positionH>
              <wp:positionV relativeFrom="paragraph">
                <wp:posOffset>-291464</wp:posOffset>
              </wp:positionV>
              <wp:extent cx="12700" cy="252095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2520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54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5IAnl5nYhTPNBP/nv9EtsXUxA==">CgMxLjA4AHIhMU9MN2dhNjZ1eDhXMXdJTEtxSGFJcFZtSHN5VmhoOWJn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0x01010045D75885B988AE4B904843AB9E5574A9</vt:lpwstr>
  </property>
  <property fmtid="{D5CDD505-2E9C-101B-9397-08002B2CF9AE}" pid="3" name="MediaServiceImageTags">
    <vt:lpwstr>MediaServiceImageTags</vt:lpwstr>
  </property>
</Properties>
</file>