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BE73" w14:textId="77777777" w:rsidR="00EA0C4E" w:rsidRDefault="00EA0C4E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THIAGO LAIDLER VIDAL CUNHA</w:t>
      </w:r>
    </w:p>
    <w:p w14:paraId="208628E2" w14:textId="77777777" w:rsidR="00EA0C4E" w:rsidRDefault="00EA0C4E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Analista Quantitativo — Automação, Dados e IA Generativa para Tesouraria e Mesa de Operações</w:t>
      </w:r>
    </w:p>
    <w:p w14:paraId="55DB172E" w14:textId="77777777" w:rsidR="00EA0C4E" w:rsidRDefault="00EA0C4E">
      <w:pPr>
        <w:pStyle w:val="contact"/>
        <w:rPr>
          <w:rFonts w:ascii="Calibri" w:hAnsi="Calibri" w:cs="Calibri"/>
        </w:rPr>
      </w:pPr>
      <w:r>
        <w:rPr>
          <w:rFonts w:ascii="Calibri" w:hAnsi="Calibri" w:cs="Calibri"/>
        </w:rPr>
        <w:t>Rio de Janeiro, RJ — disponibilidade para São Paulo  |  +55 21 99530-3297  |  thiagolaidler@gmail.com  |  linkedin.com/in/thiago-laidler  |  github.com/TLaidler</w:t>
      </w:r>
    </w:p>
    <w:p w14:paraId="51151893" w14:textId="77777777" w:rsidR="00EA0C4E" w:rsidRDefault="00EA0C4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Resumo</w:t>
      </w:r>
    </w:p>
    <w:p w14:paraId="315CA994" w14:textId="77777777" w:rsidR="00EA0C4E" w:rsidRDefault="00EA0C4E">
      <w:pPr>
        <w:pStyle w:val="NormalWeb"/>
        <w:rPr>
          <w:rFonts w:ascii="Calibri" w:hAnsi="Calibri" w:cs="Calibri"/>
          <w:color w:val="1A1A1A"/>
          <w:sz w:val="20"/>
          <w:szCs w:val="20"/>
        </w:rPr>
      </w:pPr>
      <w:r>
        <w:rPr>
          <w:rFonts w:ascii="Calibri" w:hAnsi="Calibri" w:cs="Calibri"/>
          <w:color w:val="1A1A1A"/>
          <w:sz w:val="20"/>
          <w:szCs w:val="20"/>
        </w:rPr>
        <w:t>Perfil quantitativo (Física/Astronomia — UFRJ; mestrado com machine learning — Observatório Nacional/MCTI) com programação avançada em Python/SQL e 2,5+ anos em gestora regulada pela CVM. Automação de conciliação, caixa e NAV, analytics de risco e performance e ferramentas de suporte à decisão com IA generativa (LLMs). Vivência em juros (duration/prazo médio), câmbio (swaps e futuros) e derivativos. CEA-ANBIMA. Inglês fluente.</w:t>
      </w:r>
    </w:p>
    <w:p w14:paraId="4AE25500" w14:textId="77777777" w:rsidR="00EA0C4E" w:rsidRDefault="00EA0C4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Competências</w:t>
      </w:r>
    </w:p>
    <w:p w14:paraId="67E3D0B7" w14:textId="77777777" w:rsidR="00EA0C4E" w:rsidRDefault="00EA0C4E">
      <w:pPr>
        <w:numPr>
          <w:ilvl w:val="0"/>
          <w:numId w:val="1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Programação e dados: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</w:t>
      </w:r>
      <w:r>
        <w:rPr>
          <w:rFonts w:ascii="Calibri" w:eastAsia="Times New Roman" w:hAnsi="Calibri" w:cs="Calibri"/>
          <w:color w:val="1A1A1A"/>
          <w:sz w:val="20"/>
          <w:szCs w:val="20"/>
        </w:rPr>
        <w:t>Python avançado (pandas, NumPy, SciPy, scikit-learn), SQL, VBA, Git; pipelines ETL em nuvem (Azure Functions, Cosmos DB, SQL Server), APIs (BACEN, exchanges), dashboards</w:t>
      </w:r>
    </w:p>
    <w:p w14:paraId="29CAF604" w14:textId="77777777" w:rsidR="00EA0C4E" w:rsidRDefault="00EA0C4E">
      <w:pPr>
        <w:numPr>
          <w:ilvl w:val="0"/>
          <w:numId w:val="1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Mercados: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renda fixa e juros (duration/prazo médio), câmbio (swaps e futuros), derivativos, fundos multimercado — base formal CEA-ANBIMA</w:t>
      </w:r>
    </w:p>
    <w:p w14:paraId="6A4CC2C1" w14:textId="77777777" w:rsidR="00EA0C4E" w:rsidRDefault="00EA0C4E">
      <w:pPr>
        <w:numPr>
          <w:ilvl w:val="0"/>
          <w:numId w:val="1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IA generativa, risco e controles: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aplicações com LLMs (Claude Code, Cursor); P&amp;L/NAV, conciliação, monitoramento diário, reporte de compliance</w:t>
      </w:r>
    </w:p>
    <w:p w14:paraId="1DD85502" w14:textId="77777777" w:rsidR="00EA0C4E" w:rsidRDefault="00EA0C4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Experiência Profissional</w:t>
      </w:r>
    </w:p>
    <w:p w14:paraId="0F4200FA" w14:textId="77777777" w:rsidR="00EA0C4E" w:rsidRDefault="00EA0C4E">
      <w:pPr>
        <w:pStyle w:val="role"/>
        <w:rPr>
          <w:rFonts w:ascii="Calibri" w:hAnsi="Calibri" w:cs="Calibri"/>
          <w:color w:val="1A1A1A"/>
          <w:sz w:val="20"/>
          <w:szCs w:val="20"/>
        </w:rPr>
      </w:pPr>
      <w:r>
        <w:rPr>
          <w:rStyle w:val="co1"/>
          <w:rFonts w:ascii="Calibri" w:hAnsi="Calibri" w:cs="Calibri"/>
          <w:sz w:val="20"/>
          <w:szCs w:val="20"/>
        </w:rPr>
        <w:t>Transfero Asset Management</w:t>
      </w:r>
      <w:r>
        <w:rPr>
          <w:rFonts w:ascii="Calibri" w:hAnsi="Calibri" w:cs="Calibri"/>
          <w:color w:val="1A1A1A"/>
          <w:sz w:val="20"/>
          <w:szCs w:val="20"/>
        </w:rPr>
        <w:t xml:space="preserve"> </w:t>
      </w:r>
      <w:r>
        <w:rPr>
          <w:rFonts w:ascii="Calibri" w:hAnsi="Calibri" w:cs="Calibri"/>
          <w:color w:val="1A1A1A"/>
          <w:sz w:val="20"/>
          <w:szCs w:val="20"/>
        </w:rPr>
        <w:t xml:space="preserve">— gestora de fundos multimercado, regulada pela CVM </w:t>
      </w:r>
      <w:r>
        <w:rPr>
          <w:rStyle w:val="dt1"/>
          <w:rFonts w:ascii="Calibri" w:hAnsi="Calibri" w:cs="Calibri"/>
        </w:rPr>
        <w:t>jan/2024 – atual</w:t>
      </w:r>
    </w:p>
    <w:p w14:paraId="722C22BA" w14:textId="77777777" w:rsidR="00EA0C4E" w:rsidRDefault="00EA0C4E">
      <w:pPr>
        <w:pStyle w:val="NormalWeb"/>
        <w:rPr>
          <w:rFonts w:ascii="Calibri" w:hAnsi="Calibri" w:cs="Calibri"/>
          <w:color w:val="1A1A1A"/>
          <w:sz w:val="20"/>
          <w:szCs w:val="20"/>
        </w:rPr>
      </w:pPr>
      <w:r>
        <w:rPr>
          <w:rFonts w:ascii="Calibri" w:hAnsi="Calibri" w:cs="Calibri"/>
          <w:i/>
          <w:iCs/>
          <w:color w:val="1A1A1A"/>
          <w:sz w:val="20"/>
          <w:szCs w:val="20"/>
        </w:rPr>
        <w:t>Analista Quantitativo Pleno (abr/2025 – atual)</w:t>
      </w:r>
    </w:p>
    <w:p w14:paraId="223D2458" w14:textId="77777777" w:rsidR="00EA0C4E" w:rsidRDefault="00EA0C4E">
      <w:pPr>
        <w:numPr>
          <w:ilvl w:val="0"/>
          <w:numId w:val="2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>Automações e ferramentas de suporte à tomada de decisão com IA generativa (sumarização de research, rotinas com LLM).</w:t>
      </w:r>
    </w:p>
    <w:p w14:paraId="1EA817AA" w14:textId="77777777" w:rsidR="00EA0C4E" w:rsidRDefault="00EA0C4E">
      <w:pPr>
        <w:numPr>
          <w:ilvl w:val="0"/>
          <w:numId w:val="2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>Apoio quantitativo ao hedge cambial via swaps e futuros e ao cálculo de prazo médio (duration) de carteira.</w:t>
      </w:r>
    </w:p>
    <w:p w14:paraId="31A0AA7A" w14:textId="77777777" w:rsidR="00EA0C4E" w:rsidRDefault="00EA0C4E">
      <w:pPr>
        <w:numPr>
          <w:ilvl w:val="0"/>
          <w:numId w:val="2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>Analytics de risco e performance de fundo sistemático (giro anual ~USD 1 bi): exposições, atribuição e monitoramento de books.</w:t>
      </w:r>
    </w:p>
    <w:p w14:paraId="7BB8DC5D" w14:textId="77777777" w:rsidR="00EA0C4E" w:rsidRDefault="00EA0C4E">
      <w:pPr>
        <w:numPr>
          <w:ilvl w:val="0"/>
          <w:numId w:val="2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>Pipelines de dados em nuvem (Azure, SQL, Python) para portfólio e NAV — tempo de processamento reduzido em 60%+.</w:t>
      </w:r>
    </w:p>
    <w:p w14:paraId="7DEAD803" w14:textId="77777777" w:rsidR="00EA0C4E" w:rsidRDefault="00EA0C4E">
      <w:pPr>
        <w:pStyle w:val="NormalWeb"/>
        <w:rPr>
          <w:rFonts w:ascii="Calibri" w:hAnsi="Calibri" w:cs="Calibri"/>
          <w:color w:val="1A1A1A"/>
          <w:sz w:val="20"/>
          <w:szCs w:val="20"/>
        </w:rPr>
      </w:pPr>
      <w:r>
        <w:rPr>
          <w:rFonts w:ascii="Calibri" w:hAnsi="Calibri" w:cs="Calibri"/>
          <w:i/>
          <w:iCs/>
          <w:color w:val="1A1A1A"/>
          <w:sz w:val="20"/>
          <w:szCs w:val="20"/>
        </w:rPr>
        <w:t>Analista de Middle Office — estágio de pós-graduação (jan/2024 – abr/2025)</w:t>
      </w:r>
    </w:p>
    <w:p w14:paraId="356DF196" w14:textId="77777777" w:rsidR="00EA0C4E" w:rsidRDefault="00EA0C4E">
      <w:pPr>
        <w:numPr>
          <w:ilvl w:val="0"/>
          <w:numId w:val="3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>Automação de caixa, conciliação e fechamento (Python, SQL, VBA), reduzindo tempo de fechamento e risco operacional.</w:t>
      </w:r>
    </w:p>
    <w:p w14:paraId="55D9E321" w14:textId="77777777" w:rsidR="00EA0C4E" w:rsidRDefault="00EA0C4E">
      <w:pPr>
        <w:numPr>
          <w:ilvl w:val="0"/>
          <w:numId w:val="3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>Validação diária de posições, cotas e NAV com administradores e custodiantes; análise de resultado (P&amp;L), liquidez e performance.</w:t>
      </w:r>
    </w:p>
    <w:p w14:paraId="22EB4873" w14:textId="77777777" w:rsidR="00EA0C4E" w:rsidRDefault="00EA0C4E">
      <w:pPr>
        <w:numPr>
          <w:ilvl w:val="0"/>
          <w:numId w:val="3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>Serviço automatizado de rastreio de posições e cálculo de cotas com alertas diários; bot de morning call com IA (sumarização via LLM e envio automático de notícias de mercado).</w:t>
      </w:r>
    </w:p>
    <w:p w14:paraId="374726FD" w14:textId="77777777" w:rsidR="00EA0C4E" w:rsidRDefault="00EA0C4E">
      <w:pPr>
        <w:pStyle w:val="role"/>
        <w:rPr>
          <w:rFonts w:ascii="Calibri" w:hAnsi="Calibri" w:cs="Calibri"/>
          <w:color w:val="1A1A1A"/>
          <w:sz w:val="20"/>
          <w:szCs w:val="20"/>
        </w:rPr>
      </w:pPr>
      <w:r>
        <w:rPr>
          <w:rStyle w:val="co1"/>
          <w:rFonts w:ascii="Calibri" w:hAnsi="Calibri" w:cs="Calibri"/>
          <w:sz w:val="20"/>
          <w:szCs w:val="20"/>
        </w:rPr>
        <w:t>Pesquisa Científica</w:t>
      </w:r>
      <w:r>
        <w:rPr>
          <w:rFonts w:ascii="Calibri" w:hAnsi="Calibri" w:cs="Calibri"/>
          <w:color w:val="1A1A1A"/>
          <w:sz w:val="20"/>
          <w:szCs w:val="20"/>
        </w:rPr>
        <w:t xml:space="preserve"> — Observatório Nacional/MCTI (mestrado) e UFRJ (PIBIC/CNPq) </w:t>
      </w:r>
      <w:r>
        <w:rPr>
          <w:rStyle w:val="dt1"/>
          <w:rFonts w:ascii="Calibri" w:hAnsi="Calibri" w:cs="Calibri"/>
        </w:rPr>
        <w:t>out/2020 – 2026</w:t>
      </w:r>
    </w:p>
    <w:p w14:paraId="3FAF8F21" w14:textId="77777777" w:rsidR="00EA0C4E" w:rsidRDefault="00EA0C4E">
      <w:pPr>
        <w:numPr>
          <w:ilvl w:val="0"/>
          <w:numId w:val="4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Pipeline de ML para detecção de eventos raros em séries temporais ruidosas (F1 &gt; 0,97; AUC-ROC &gt; 0,98), com reprodutibilidade auditável; coautor de artigo peer-reviewed no </w:t>
      </w:r>
      <w:r>
        <w:rPr>
          <w:rFonts w:ascii="Calibri" w:eastAsia="Times New Roman" w:hAnsi="Calibri" w:cs="Calibri"/>
          <w:i/>
          <w:iCs/>
          <w:color w:val="1A1A1A"/>
          <w:sz w:val="20"/>
          <w:szCs w:val="20"/>
        </w:rPr>
        <w:t>Monthly Notices of the Royal Astronomical Society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(Oxford).</w:t>
      </w:r>
    </w:p>
    <w:p w14:paraId="4D12A8F3" w14:textId="77777777" w:rsidR="00EA0C4E" w:rsidRDefault="00EA0C4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Projetos Selecionados (github.com/TLaidler)</w:t>
      </w:r>
    </w:p>
    <w:p w14:paraId="5FE84273" w14:textId="77777777" w:rsidR="00EA0C4E" w:rsidRDefault="00EA0C4E">
      <w:pPr>
        <w:numPr>
          <w:ilvl w:val="0"/>
          <w:numId w:val="5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App de matemática financeira: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Flask + Pydantic, SAC/PRICE, APIs do BACEN (Selic, IPCA, CDI), testado (pytest) e documentado.</w:t>
      </w:r>
    </w:p>
    <w:p w14:paraId="6C4A1D40" w14:textId="77777777" w:rsidR="00EA0C4E" w:rsidRDefault="00EA0C4E">
      <w:pPr>
        <w:numPr>
          <w:ilvl w:val="0"/>
          <w:numId w:val="5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Backtesting sistemático (BTC/USDT):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metodologia López de Prado, validação out-of-sample com controles contra look-ahead/data leakage.</w:t>
      </w:r>
    </w:p>
    <w:p w14:paraId="72511A88" w14:textId="77777777" w:rsidR="00EA0C4E" w:rsidRDefault="00EA0C4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Formação, Certificações &amp; Idiomas</w:t>
      </w:r>
    </w:p>
    <w:p w14:paraId="2C73BE08" w14:textId="77777777" w:rsidR="00EA0C4E" w:rsidRDefault="00EA0C4E">
      <w:pPr>
        <w:numPr>
          <w:ilvl w:val="0"/>
          <w:numId w:val="6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Mestrado em Astronomia/Astrofísica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(ML aplicado a séries temporais) — Observatório Nacional (MCTI), 2026  ·  </w:t>
      </w: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Bacharelado em Astronomia/Astrofísica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— UFRJ, 2023</w:t>
      </w:r>
    </w:p>
    <w:p w14:paraId="6F4DFEA9" w14:textId="77777777" w:rsidR="00EA0C4E" w:rsidRDefault="00EA0C4E">
      <w:pPr>
        <w:numPr>
          <w:ilvl w:val="0"/>
          <w:numId w:val="6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>CEA — Especialista em Investimentos (ANBIMA)  ·  Bootcamp Data Science (Santander, 89h)  ·  Inglês fluente (C1)</w:t>
      </w:r>
    </w:p>
    <w:sectPr w:rsidR="00EA0C4E">
      <w:pgSz w:w="11906" w:h="16838"/>
      <w:pgMar w:top="800" w:right="960" w:bottom="800" w:left="9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0115F"/>
    <w:multiLevelType w:val="multilevel"/>
    <w:tmpl w:val="3DB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D20AB"/>
    <w:multiLevelType w:val="multilevel"/>
    <w:tmpl w:val="1440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47DC8"/>
    <w:multiLevelType w:val="multilevel"/>
    <w:tmpl w:val="59AC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AF2F6D"/>
    <w:multiLevelType w:val="multilevel"/>
    <w:tmpl w:val="666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D133B"/>
    <w:multiLevelType w:val="multilevel"/>
    <w:tmpl w:val="0390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F1BB4"/>
    <w:multiLevelType w:val="multilevel"/>
    <w:tmpl w:val="B9CE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812572">
    <w:abstractNumId w:val="5"/>
  </w:num>
  <w:num w:numId="2" w16cid:durableId="1751149066">
    <w:abstractNumId w:val="3"/>
  </w:num>
  <w:num w:numId="3" w16cid:durableId="809178573">
    <w:abstractNumId w:val="2"/>
  </w:num>
  <w:num w:numId="4" w16cid:durableId="565069743">
    <w:abstractNumId w:val="0"/>
  </w:num>
  <w:num w:numId="5" w16cid:durableId="1704934986">
    <w:abstractNumId w:val="1"/>
  </w:num>
  <w:num w:numId="6" w16cid:durableId="1628656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B1"/>
    <w:rsid w:val="004951A0"/>
    <w:rsid w:val="00D860B1"/>
    <w:rsid w:val="00EA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27D285"/>
  <w15:chartTrackingRefBased/>
  <w15:docId w15:val="{DF0572CE-7F26-424D-874D-A0E27DF1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after="20"/>
      <w:outlineLvl w:val="0"/>
    </w:pPr>
    <w:rPr>
      <w:b/>
      <w:bCs/>
      <w:color w:val="0F2A43"/>
      <w:spacing w:val="10"/>
      <w:kern w:val="36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8" w:space="1" w:color="0F2A43"/>
      </w:pBdr>
      <w:spacing w:before="160" w:after="60"/>
      <w:outlineLvl w:val="1"/>
    </w:pPr>
    <w:rPr>
      <w:b/>
      <w:bCs/>
      <w:caps/>
      <w:color w:val="0F2A43"/>
      <w:spacing w:val="16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20" w:after="20"/>
    </w:pPr>
  </w:style>
  <w:style w:type="paragraph" w:styleId="NormalWeb">
    <w:name w:val="Normal (Web)"/>
    <w:basedOn w:val="Normal"/>
    <w:uiPriority w:val="99"/>
    <w:semiHidden/>
    <w:unhideWhenUsed/>
    <w:pPr>
      <w:spacing w:before="20" w:after="20"/>
    </w:pPr>
  </w:style>
  <w:style w:type="paragraph" w:customStyle="1" w:styleId="sub">
    <w:name w:val="sub"/>
    <w:basedOn w:val="Normal"/>
    <w:pPr>
      <w:spacing w:after="20"/>
    </w:pPr>
    <w:rPr>
      <w:b/>
      <w:bCs/>
      <w:color w:val="333333"/>
      <w:sz w:val="21"/>
      <w:szCs w:val="21"/>
    </w:rPr>
  </w:style>
  <w:style w:type="paragraph" w:customStyle="1" w:styleId="contact">
    <w:name w:val="contact"/>
    <w:basedOn w:val="Normal"/>
    <w:pPr>
      <w:spacing w:after="120"/>
    </w:pPr>
    <w:rPr>
      <w:color w:val="444444"/>
      <w:sz w:val="18"/>
      <w:szCs w:val="18"/>
    </w:rPr>
  </w:style>
  <w:style w:type="paragraph" w:customStyle="1" w:styleId="role">
    <w:name w:val="role"/>
    <w:basedOn w:val="Normal"/>
    <w:pPr>
      <w:spacing w:before="80" w:after="20"/>
    </w:pPr>
  </w:style>
  <w:style w:type="paragraph" w:customStyle="1" w:styleId="co">
    <w:name w:val="co"/>
    <w:basedOn w:val="Normal"/>
    <w:pPr>
      <w:spacing w:after="20"/>
    </w:pPr>
    <w:rPr>
      <w:b/>
      <w:bCs/>
      <w:color w:val="0F2A43"/>
    </w:rPr>
  </w:style>
  <w:style w:type="paragraph" w:customStyle="1" w:styleId="dt">
    <w:name w:val="dt"/>
    <w:basedOn w:val="Normal"/>
    <w:pPr>
      <w:spacing w:after="20"/>
    </w:pPr>
    <w:rPr>
      <w:color w:val="666666"/>
      <w:sz w:val="18"/>
      <w:szCs w:val="18"/>
    </w:rPr>
  </w:style>
  <w:style w:type="character" w:customStyle="1" w:styleId="co1">
    <w:name w:val="co1"/>
    <w:basedOn w:val="Fontepargpadro"/>
    <w:rPr>
      <w:b/>
      <w:bCs/>
      <w:color w:val="0F2A43"/>
    </w:rPr>
  </w:style>
  <w:style w:type="character" w:customStyle="1" w:styleId="dt1">
    <w:name w:val="dt1"/>
    <w:basedOn w:val="Fontepargpadro"/>
    <w:rPr>
      <w:color w:val="666666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511</Words>
  <Characters>2761</Characters>
  <Application>Microsoft Office Word</Application>
  <DocSecurity>4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Laidler Vidal Cunha</dc:creator>
  <cp:keywords/>
  <dc:description/>
  <cp:lastModifiedBy>Thiago Laidler Vidal Cunha</cp:lastModifiedBy>
  <cp:revision>2</cp:revision>
  <dcterms:created xsi:type="dcterms:W3CDTF">2026-07-12T22:55:00Z</dcterms:created>
  <dcterms:modified xsi:type="dcterms:W3CDTF">2026-07-12T22:55:00Z</dcterms:modified>
</cp:coreProperties>
</file>