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sz w:val="24"/>
        </w:rPr>
        <w:t>Memorial de Cálculo</w:t>
      </w: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econômica fosca, em muros, com duas demãos, sem emassamento, com aplicação de selador para alvenaria exterior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29,14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21,14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108,80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64,00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9,30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230,58</w:t>
            </w:r>
          </w:p>
        </w:tc>
        <w:tc>
          <w:tcPr>
            <w:tcW w:w="1134" w:type="dxa"/>
          </w:tcPr>
          <w:p/>
        </w:tc>
        <w:tc>
          <w:tcPr>
            <w:tcW w:w="1417" w:type="dxa"/>
          </w:tcPr>
          <w:p/>
        </w:tc>
        <w:tc>
          <w:tcPr>
            <w:tcW w:w="1417" w:type="dxa"/>
          </w:tcPr>
          <w:p/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230,58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17.10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látex acrílica econômica fosca, em muros, com duas demãos, sem emassamento, com aplicação de selador para alvenaria exterior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230,58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standard fosca sem emassamento, 3 demãos, com aplicação de selador para exterior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8,27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27,20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19,33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82,83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50,54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10,92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31,92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65,10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265,41</w:t>
            </w:r>
          </w:p>
        </w:tc>
        <w:tc>
          <w:tcPr>
            <w:tcW w:w="1134" w:type="dxa"/>
          </w:tcPr>
          <w:p/>
        </w:tc>
        <w:tc>
          <w:tcPr>
            <w:tcW w:w="1417" w:type="dxa"/>
          </w:tcPr>
          <w:p/>
        </w:tc>
        <w:tc>
          <w:tcPr>
            <w:tcW w:w="1417" w:type="dxa"/>
          </w:tcPr>
          <w:p/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265,41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látex acrílica standard fosca sem emassamento, 3 demãos, com aplicação de selador para exterior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265,41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