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sz w:val="24"/>
        </w:rPr>
        <w:t>Memorial de Cálculo</w:t>
      </w: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econômica fosca, em muros, com duas demãos, sem emassamento, com aplicação de selador para alvenaria exterior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29,14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19,34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108,80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64,00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9,30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230,58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230,58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17.10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em látex acrílica econômica fosca, em muros, com duas demãos, sem emassamento, com aplicação de selador para alvenaria exterior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230,58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standard fosca sem emassamento, 3 demãos, com aplicação de selador para exterior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8,27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27,20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19,33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82,83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41,34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10,92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40,10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265,41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265,41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17.4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em látex acrílica standard fosca sem emassamento, 3 demãos, com aplicação de selador para exterior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265,41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para piso a base de resina acrílica - piso, faixas de demarcação de vagas, PNE, carro forte e similares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1,94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3,83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5,88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19,41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19,41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17.8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para piso a base de resina acrílica - piso, faixas de demarcação de vagas, PNE, carro forte e similares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19,41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Automotiva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22,10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22,10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22,10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17.9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Automotiva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22,10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7087"/>
        <w:gridCol w:w="1984"/>
      </w:tblGrid>
      <w:tr>
        <w:trPr>
          <w:trHeight w:val="280" w:hRule="atLeast"/>
        </w:trPr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Andaime torre metálico (1,5 x 1,5 m) com piso metálico</w:t>
            </w:r>
          </w:p>
        </w:tc>
      </w:tr>
      <w:tr>
        <w:trPr>
          <w:trHeight w:val="28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(M/MÊS)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2.21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Andaime torre metálico (1,5 x 1,5 m) com piso metálico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M/MÊS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esmalte sintético standard em estrutura metálica com duas demãos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6,25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6,25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4,68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5,29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3,91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3,97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49,10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49,10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em esmalte sintético standard em estrutura metálica com duas demãos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49,10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Impermeabilização com membrana de poliuretano (PU)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1,70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0,48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0,91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14,36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14,36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8.7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Impermeabilização com membrana de poliuretano (PU)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14,36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23,52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4,64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23,52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21,47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5,25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19,87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21,76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11,36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14,34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17,71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15,07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18,85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6,91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22,11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17,92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6,54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10,96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6,63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32,76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7,93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32,10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39,65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3,78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35,87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11,87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9,52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17,89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494,53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494,53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494,53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7087"/>
        <w:gridCol w:w="1984"/>
      </w:tblGrid>
      <w:tr>
        <w:trPr>
          <w:trHeight w:val="280" w:hRule="atLeast"/>
        </w:trPr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Deslocamento ou remanejamento de mobiliário dentro da agência</w:t>
            </w:r>
          </w:p>
        </w:tc>
      </w:tr>
      <w:tr>
        <w:trPr>
          <w:trHeight w:val="28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21,00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13.12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Deslocamento ou remanejamento de mobiliário dentro da agência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21,00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UN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Emassamento de parede interna ou teto com massa corrida a base de PVA com duas demãos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0,81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12,41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12,41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17.2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Emassamento de parede interna ou teto com massa corrida a base de PVA com duas demãos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12,41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3969"/>
        <w:gridCol w:w="1134"/>
        <w:gridCol w:w="1134"/>
        <w:gridCol w:w="1417"/>
        <w:gridCol w:w="1417"/>
      </w:tblGrid>
      <w:tr>
        <w:trPr>
          <w:trHeight w:val="280" w:hRule="atLeast"/>
        </w:trPr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Forro de fibra mineral, incluindo fixação, sem estrutura</w:t>
            </w:r>
          </w:p>
        </w:tc>
      </w:tr>
      <w:tr>
        <w:trPr>
          <w:trHeight w:val="28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0,40</w:t>
            </w:r>
          </w:p>
        </w:tc>
      </w:tr>
      <w:tr>
        <w:trPr>
          <w:trHeight w:val="240" w:hRule="atLeast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0,40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1,19</w:t>
            </w:r>
          </w:p>
        </w:tc>
      </w:tr>
      <w:tr>
        <w:trPr>
          <w:trHeight w:val="240" w:hRule="atLeast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1,19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12.10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Forro de fibra mineral, incluindo fixação, sem estrutura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1,19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m²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4819"/>
        <w:gridCol w:w="1304"/>
        <w:gridCol w:w="1304"/>
        <w:gridCol w:w="1644"/>
      </w:tblGrid>
      <w:tr>
        <w:trPr>
          <w:trHeight w:val="280" w:hRule="atLeast"/>
        </w:trPr>
        <w:tc>
          <w:tcPr>
            <w:tcW w:w="4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</w:tr>
      <w:tr>
        <w:trPr>
          <w:trHeight w:val="280" w:hRule="atLeast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(m³)</w:t>
            </w:r>
          </w:p>
        </w:tc>
      </w:tr>
      <w:tr>
        <w:trPr>
          <w:trHeight w:val="240" w:hRule="atLeast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0,40</w:t>
            </w:r>
          </w:p>
        </w:tc>
      </w:tr>
      <w:tr>
        <w:trPr>
          <w:trHeight w:val="240" w:hRule="atLeast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40" w:hRule="atLeast"/>
        </w:trPr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0,12</w:t>
            </w:r>
          </w:p>
        </w:tc>
      </w:tr>
      <w:tr>
        <w:trPr>
          <w:trHeight w:val="240" w:hRule="atLeast"/>
        </w:trPr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(dividido por 10)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0,12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2.18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0,12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m³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7087"/>
        <w:gridCol w:w="1984"/>
      </w:tblGrid>
      <w:tr>
        <w:trPr>
          <w:trHeight w:val="280" w:hRule="atLeast"/>
        </w:trPr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Vedações em geral (janelas, portas, pias e similares)</w:t>
            </w:r>
          </w:p>
        </w:tc>
      </w:tr>
      <w:tr>
        <w:trPr>
          <w:trHeight w:val="28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5,00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29.43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Vedações em geral (janelas, portas, pias e similares)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5,00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UN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7087"/>
        <w:gridCol w:w="1984"/>
      </w:tblGrid>
      <w:tr>
        <w:trPr>
          <w:trHeight w:val="280" w:hRule="atLeast"/>
        </w:trPr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Luminária LED circular ou quadrada</w:t>
            </w:r>
          </w:p>
        </w:tc>
      </w:tr>
      <w:tr>
        <w:trPr>
          <w:trHeight w:val="28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Subtotal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2,00</w:t>
            </w:r>
          </w:p>
        </w:tc>
      </w:tr>
    </w:tbl>
    <w:p>
      <w:pPr>
        <w:spacing w:before="40" w:after="40"/>
      </w:pPr>
    </w:p>
    <w:tbl>
      <w:tblPr>
        <w:tblStyle w:val="TableGrid"/>
        <w:tblLook w:firstColumn="1" w:firstRow="1" w:lastColumn="0" w:lastRow="0" w:noHBand="0" w:noVBand="1" w:val="04A0"/>
        <w:tblW w:w="9072" w:type="dxa"/>
      </w:tblPr>
      <w:tblGrid>
        <w:gridCol w:w="850"/>
        <w:gridCol w:w="6237"/>
        <w:gridCol w:w="1134"/>
        <w:gridCol w:w="850"/>
      </w:tblGrid>
      <w:tr>
        <w:trPr>
          <w:trHeight w:val="280" w:hRule="atLeast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/>
                <w:color w:val="000000"/>
                <w:sz w:val="20"/>
              </w:rPr>
              <w:t>Itens</w:t>
            </w:r>
          </w:p>
        </w:tc>
      </w:tr>
      <w:tr>
        <w:trPr>
          <w:trHeight w:val="240" w:hRule="atLeast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19.80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Luminária LED circular ou quadrada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2,00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 Narrow" w:hAnsi="Aptos Narrow"/>
                <w:b w:val="0"/>
                <w:color w:val="000000"/>
                <w:sz w:val="20"/>
              </w:rPr>
              <w:t>UN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