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ISCO Composition (% of Ads)</w:t>
      </w:r>
    </w:p>
    <w:tbl>
      <w:tblPr>
        <w:tblStyle w:val="TableGri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w="850" w:type="dxa"/>
          </w:tcPr>
          <w:p>
            <w:pPr>
              <w:spacing w:after="0"/>
            </w:pPr>
            <w:r>
              <w:t xml:space="preserve">Round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N (Ads)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Managers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Professionals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Technicians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Clerical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Services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Craft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Plant/Mach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Elementary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Total %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Round 1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5,257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13.2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37.6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7.6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5.4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22.6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5.5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6.0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Round 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26,365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20.0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40.3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9.8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4.9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13.9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6.4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0.9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3.9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Round 3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217,492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11.7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31.5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11.5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10.9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13.0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11.6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7.5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t xml:space="preserve">Round 4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268,901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10.5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30.4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11.2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11.4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12.7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14.0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2.6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7.2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Total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518,015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11.5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31.5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11.2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10.8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13.0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12.6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2.3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7.2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b w:val="true"/>
              </w:rPr>
              <w:t xml:space="preserve">100</w:t>
            </w:r>
          </w:p>
        </w:tc>
      </w:tr>
    </w:tbl>
    <w:p>
      <w:r>
        <w:t/>
      </w:r>
    </w:p>
    <w:p>
      <w:pPr>
        <w:pStyle w:val="Heading1"/>
      </w:pPr>
      <w:r>
        <w:t/>
      </w:r>
      <w:r>
        <w:t xml:space="preserve"/>
      </w:r>
      <w:r>
        <w:t xml:space="preserve">Task Composition (% of VOs)</w:t>
      </w:r>
    </w:p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</w:tcPr>
          <w:p>
            <w:pPr>
              <w:spacing w:after="0"/>
            </w:pPr>
            <w:r>
              <w:t xml:space="preserve">Round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N (VOs)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Analytical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Management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Interactive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Cognitive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Manual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Total %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Round 1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5,591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12.6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4.3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58.1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20.5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4.6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Round 2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31,449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5.7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20.8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32.3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36.1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5.1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Round 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445,590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5.3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14.1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40.6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32.8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7.2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Round 4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1,580,832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8.6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12.8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27.3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37.6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13.6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100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Total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2,063,462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7.9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13.2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30.4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36.5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12.0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rPr>
                <w:b w:val="true"/>
              </w:rPr>
              <w:t xml:space="preserve">100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