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r>
              <w:t>pdf.</w:t>
            </w:r>
            <w:bookmarkStart w:id="0" w:name="_GoBack"/>
            <w:bookmarkEnd w:id="0"/>
          </w:p>
        </w:tc>
      </w:tr>
    </w:tbl>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181764"/>
    <w:rsid w:val="0018217B"/>
    <w:rsid w:val="001D1032"/>
    <w:rsid w:val="001D4D47"/>
    <w:rsid w:val="001E39AA"/>
    <w:rsid w:val="00201F96"/>
    <w:rsid w:val="002070A4"/>
    <w:rsid w:val="00273B0C"/>
    <w:rsid w:val="002E0ECB"/>
    <w:rsid w:val="00393AE1"/>
    <w:rsid w:val="00495B78"/>
    <w:rsid w:val="005809B8"/>
    <w:rsid w:val="00585EED"/>
    <w:rsid w:val="00587C85"/>
    <w:rsid w:val="005C2CC7"/>
    <w:rsid w:val="005D7FA9"/>
    <w:rsid w:val="005E5872"/>
    <w:rsid w:val="00654D4D"/>
    <w:rsid w:val="00673F08"/>
    <w:rsid w:val="006B3590"/>
    <w:rsid w:val="00720208"/>
    <w:rsid w:val="0072139A"/>
    <w:rsid w:val="00786EFF"/>
    <w:rsid w:val="007940FE"/>
    <w:rsid w:val="007F4A4E"/>
    <w:rsid w:val="00865278"/>
    <w:rsid w:val="008E70CB"/>
    <w:rsid w:val="008F11FD"/>
    <w:rsid w:val="009A464D"/>
    <w:rsid w:val="009B453C"/>
    <w:rsid w:val="009E578E"/>
    <w:rsid w:val="00A344D8"/>
    <w:rsid w:val="00AB116D"/>
    <w:rsid w:val="00AB623B"/>
    <w:rsid w:val="00AC36C1"/>
    <w:rsid w:val="00AD7C12"/>
    <w:rsid w:val="00AF6BBB"/>
    <w:rsid w:val="00B5309F"/>
    <w:rsid w:val="00B53150"/>
    <w:rsid w:val="00BB115D"/>
    <w:rsid w:val="00BB7491"/>
    <w:rsid w:val="00BD69BB"/>
    <w:rsid w:val="00BD754D"/>
    <w:rsid w:val="00D84D3E"/>
    <w:rsid w:val="00DB68D9"/>
    <w:rsid w:val="00DC0E43"/>
    <w:rsid w:val="00E67EE9"/>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9E5A0-C366-3541-9F76-32844B44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271</Words>
  <Characters>1549</Characters>
  <Application>Microsoft Macintosh Word</Application>
  <DocSecurity>0</DocSecurity>
  <Lines>12</Lines>
  <Paragraphs>3</Paragraphs>
  <ScaleCrop>false</ScaleCrop>
  <Company>umn</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50</cp:revision>
  <dcterms:created xsi:type="dcterms:W3CDTF">2016-03-06T23:38:00Z</dcterms:created>
  <dcterms:modified xsi:type="dcterms:W3CDTF">2016-04-16T13:19:00Z</dcterms:modified>
</cp:coreProperties>
</file>