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0" w:before="0"/>
        <w:jc w:val="center"/>
      </w:pPr>
      <w:r>
        <w:rPr>
          <w:rFonts w:ascii="Arial" w:cs="Arial" w:eastAsia="Arial" w:hAnsi="Arial"/>
          <w:b/>
          <w:bCs/>
          <w:color w:val="0D2B55"/>
          <w:sz w:val="96"/>
          <w:szCs w:val="96"/>
        </w:rPr>
        <w:t xml:space="preserve">PLANIX</w:t>
      </w:r>
    </w:p>
    <w:p>
      <w:pPr>
        <w:spacing w:after="480" w:before="160"/>
        <w:jc w:val="center"/>
      </w:pPr>
      <w:r>
        <w:rPr>
          <w:rFonts w:ascii="Arial" w:cs="Arial" w:eastAsia="Arial" w:hAnsi="Arial"/>
          <w:i/>
          <w:iCs/>
          <w:color w:val="00ACC1"/>
          <w:sz w:val="36"/>
          <w:szCs w:val="36"/>
        </w:rPr>
        <w:t xml:space="preserve">UI/UX Design System</w:t>
      </w:r>
    </w:p>
    <w:p>
      <w:pPr>
        <w:spacing w:after="160" w:before="0"/>
        <w:jc w:val="center"/>
      </w:pPr>
      <w:r>
        <w:rPr>
          <w:rFonts w:ascii="Arial" w:cs="Arial" w:eastAsia="Arial" w:hAnsi="Arial"/>
          <w:b/>
          <w:bCs/>
          <w:color w:val="0D2B55"/>
          <w:sz w:val="28"/>
          <w:szCs w:val="28"/>
        </w:rPr>
        <w:t xml:space="preserve">Section V of the Planix PRD  |  v1.1</w:t>
      </w:r>
    </w:p>
    <w:p>
      <w:pPr>
        <w:spacing w:after="800" w:before="0"/>
        <w:jc w:val="center"/>
      </w:pPr>
      <w:r>
        <w:rPr>
          <w:rFonts w:ascii="Arial" w:cs="Arial" w:eastAsia="Arial" w:hAnsi="Arial"/>
          <w:color w:val="607080"/>
          <w:sz w:val="22"/>
          <w:szCs w:val="22"/>
        </w:rPr>
        <w:t xml:space="preserve">Updated: Unified Dark Color System  |  White-Label Reporting</w:t>
      </w:r>
    </w:p>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Document:</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Planix UI/UX Design System v1.1</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Part of:</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Planix PRD - Section V</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Owner:</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Trent Martin, VP Technology Services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Applies to:</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All frontend development, Phase 0 and beyond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Date:</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June 2026</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Status:</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Approved - Do Not Deviate Without VP Sign-Off</w:t>
            </w:r>
          </w:p>
        </w:tc>
      </w:tr>
    </w:tbl>
    <w:p>
      <w:pPr>
        <w:spacing w:after="0" w:before="200"/>
      </w:pPr>
      <w:r>
        <w:t xml:space="preserve"/>
      </w:r>
    </w:p>
    <w:p>
      <w:pPr>
        <w:pBdr>
          <w:left w:val="single" w:color="00ACC1" w:sz="10"/>
        </w:pBdr>
        <w:shd w:fill="EFF6FB" w:val="clear"/>
        <w:spacing w:after="160" w:before="160"/>
        <w:ind w:left="360" w:right="360"/>
      </w:pPr>
      <w:r>
        <w:rPr>
          <w:rFonts w:ascii="Arial" w:cs="Arial" w:eastAsia="Arial" w:hAnsi="Arial"/>
          <w:i/>
          <w:iCs/>
          <w:color w:val="0D2B55"/>
          <w:sz w:val="20"/>
          <w:szCs w:val="20"/>
        </w:rPr>
        <w:t xml:space="preserve">v1.1 makes two updates to v1.0: (1) The sidebar background color is unified with the main content area, eliminating the navy sidebar that created a two-tone appearance. The entire shell now uses one cohesive dark surface family. (2) White-label reporting is fully specified, covering customer-facing PDF reports, the customer portal, and report email notifications.</w:t>
      </w:r>
    </w:p>
    <w:p>
      <w:r>
        <w:br w:type="page"/>
      </w:r>
    </w:p>
    <w:p>
      <w:pPr>
        <w:pStyle w:val="Heading1"/>
        <w:shd w:fill="0D2B55" w:val="clear"/>
        <w:spacing w:after="240" w:before="480"/>
        <w:ind w:left="240"/>
      </w:pPr>
      <w:r>
        <w:rPr>
          <w:rFonts w:ascii="Arial" w:cs="Arial" w:eastAsia="Arial" w:hAnsi="Arial"/>
          <w:b/>
          <w:bCs/>
          <w:color w:val="FFFFFF"/>
          <w:sz w:val="34"/>
          <w:szCs w:val="34"/>
        </w:rPr>
        <w:t xml:space="preserve">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Version</w:t>
            </w:r>
          </w:p>
        </w:tc>
        <w:tc>
          <w:tcPr>
            <w:tcW w:type="dxa" w:w="16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Date</w:t>
            </w:r>
          </w:p>
        </w:tc>
        <w:tc>
          <w:tcPr>
            <w:tcW w:type="dxa" w:w="656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Changes</w:t>
            </w:r>
          </w:p>
        </w:tc>
      </w:tr>
      <w:tr>
        <w:tc>
          <w:tcPr>
            <w:tcW w:type="dxa" w:w="1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v1.0</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June 2026</w:t>
            </w:r>
          </w:p>
        </w:tc>
        <w:tc>
          <w:tcPr>
            <w:tcW w:type="dxa" w:w="65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Initial design system: color tokens, typography, layout architecture, component library, dark/light mode, motion, accessibility, screen specs</w:t>
            </w:r>
          </w:p>
        </w:tc>
      </w:tr>
      <w:tr>
        <w:tc>
          <w:tcPr>
            <w:tcW w:type="dxa" w:w="1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v1.1</w:t>
            </w:r>
          </w:p>
        </w:tc>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June 2026</w:t>
            </w:r>
          </w:p>
        </w:tc>
        <w:tc>
          <w:tcPr>
            <w:tcW w:type="dxa" w:w="65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Sidebar color unified with main content area (removed distinct navy). White-label reporting specification added as Section V.12.</w:t>
            </w:r>
          </w:p>
        </w:tc>
      </w:tr>
    </w:tbl>
    <w:p>
      <w:pPr>
        <w:spacing w:after="0" w:before="200"/>
      </w:pPr>
      <w:r>
        <w:t xml:space="preserve"/>
      </w:r>
    </w:p>
    <w:p>
      <w:r>
        <w:br w:type="page"/>
      </w:r>
    </w:p>
    <w:p>
      <w:pPr>
        <w:pStyle w:val="Heading1"/>
        <w:shd w:fill="0D2B55" w:val="clear"/>
        <w:spacing w:after="240" w:before="480"/>
        <w:ind w:left="240"/>
      </w:pPr>
      <w:r>
        <w:rPr>
          <w:rFonts w:ascii="Arial" w:cs="Arial" w:eastAsia="Arial" w:hAnsi="Arial"/>
          <w:b/>
          <w:bCs/>
          <w:color w:val="FFFFFF"/>
          <w:sz w:val="34"/>
          <w:szCs w:val="34"/>
        </w:rPr>
        <w:t xml:space="preserve">V.1  Design Philosophy</w:t>
      </w:r>
    </w:p>
    <w:p>
      <w:pPr>
        <w:spacing w:after="0" w:before="100"/>
      </w:pPr>
      <w:r>
        <w:t xml:space="preserve"/>
      </w:r>
    </w:p>
    <w:p>
      <w:pPr>
        <w:spacing w:after="60" w:before="60"/>
      </w:pPr>
      <w:r>
        <w:rPr>
          <w:rFonts w:ascii="Arial" w:cs="Arial" w:eastAsia="Arial" w:hAnsi="Arial"/>
          <w:color w:val="2E3A47"/>
          <w:sz w:val="20"/>
          <w:szCs w:val="20"/>
        </w:rPr>
        <w:t xml:space="preserve">Planix is a professional tool used by people under deadline pressure. The UI has one job: get out of the way and let them work. Every design decision is evaluated against that standard.</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V.1.1  Core Principles</w:t>
      </w:r>
    </w:p>
    <w:p>
      <w:pPr>
        <w:pStyle w:val="ListParagraph"/>
        <w:numPr>
          <w:ilvl w:val="0"/>
          <w:numId w:val="2"/>
        </w:numPr>
        <w:spacing w:after="50" w:before="50"/>
      </w:pPr>
      <w:r>
        <w:rPr>
          <w:rFonts w:ascii="Arial" w:cs="Arial" w:eastAsia="Arial" w:hAnsi="Arial"/>
          <w:b/>
          <w:bCs/>
          <w:color w:val="2E3A47"/>
          <w:sz w:val="20"/>
          <w:szCs w:val="20"/>
        </w:rPr>
        <w:t xml:space="preserve">Information density over whitespace theater: PMs need to see project state at a glance</w:t>
      </w:r>
    </w:p>
    <w:p>
      <w:pPr>
        <w:pStyle w:val="ListParagraph"/>
        <w:numPr>
          <w:ilvl w:val="0"/>
          <w:numId w:val="2"/>
        </w:numPr>
        <w:spacing w:after="50" w:before="50"/>
      </w:pPr>
      <w:r>
        <w:rPr>
          <w:rFonts w:ascii="Arial" w:cs="Arial" w:eastAsia="Arial" w:hAnsi="Arial"/>
          <w:b/>
          <w:bCs/>
          <w:color w:val="2E3A47"/>
          <w:sz w:val="20"/>
          <w:szCs w:val="20"/>
        </w:rPr>
        <w:t xml:space="preserve">Dark mode as the primary experience: reduces eye strain, makes data visualizations pop, signals precision</w:t>
      </w:r>
    </w:p>
    <w:p>
      <w:pPr>
        <w:pStyle w:val="ListParagraph"/>
        <w:numPr>
          <w:ilvl w:val="0"/>
          <w:numId w:val="2"/>
        </w:numPr>
        <w:spacing w:after="50" w:before="50"/>
      </w:pPr>
      <w:r>
        <w:rPr>
          <w:rFonts w:ascii="Arial" w:cs="Arial" w:eastAsia="Arial" w:hAnsi="Arial"/>
          <w:b/>
          <w:bCs/>
          <w:color w:val="2E3A47"/>
          <w:sz w:val="20"/>
          <w:szCs w:val="20"/>
        </w:rPr>
        <w:t xml:space="preserve">Progressive disclosure: the UI reveals complexity as users are ready for it</w:t>
      </w:r>
    </w:p>
    <w:p>
      <w:pPr>
        <w:pStyle w:val="ListParagraph"/>
        <w:numPr>
          <w:ilvl w:val="0"/>
          <w:numId w:val="2"/>
        </w:numPr>
        <w:spacing w:after="50" w:before="50"/>
      </w:pPr>
      <w:r>
        <w:rPr>
          <w:rFonts w:ascii="Arial" w:cs="Arial" w:eastAsia="Arial" w:hAnsi="Arial"/>
          <w:b/>
          <w:bCs/>
          <w:color w:val="2E3A47"/>
          <w:sz w:val="20"/>
          <w:szCs w:val="20"/>
        </w:rPr>
        <w:t xml:space="preserve">Consistency is a feature: zero tolerance for one-off component variations</w:t>
      </w:r>
    </w:p>
    <w:p>
      <w:pPr>
        <w:pStyle w:val="ListParagraph"/>
        <w:numPr>
          <w:ilvl w:val="0"/>
          <w:numId w:val="2"/>
        </w:numPr>
        <w:spacing w:after="50" w:before="50"/>
      </w:pPr>
      <w:r>
        <w:rPr>
          <w:rFonts w:ascii="Arial" w:cs="Arial" w:eastAsia="Arial" w:hAnsi="Arial"/>
          <w:b/>
          <w:bCs/>
          <w:color w:val="2E3A47"/>
          <w:sz w:val="20"/>
          <w:szCs w:val="20"/>
        </w:rPr>
        <w:t xml:space="preserve">Color communicates status, nothing else: green = on track, amber = at risk, red = overdue, teal = brand accent</w:t>
      </w:r>
    </w:p>
    <w:p>
      <w:pPr>
        <w:spacing w:after="0" w:before="100"/>
      </w:pPr>
      <w:r>
        <w:t xml:space="preserve"/>
      </w:r>
    </w:p>
    <w:p>
      <w:r>
        <w:br w:type="page"/>
      </w:r>
    </w:p>
    <w:p>
      <w:pPr>
        <w:pStyle w:val="Heading1"/>
        <w:shd w:fill="0D2B55" w:val="clear"/>
        <w:spacing w:after="240" w:before="480"/>
        <w:ind w:left="240"/>
      </w:pPr>
      <w:r>
        <w:rPr>
          <w:rFonts w:ascii="Arial" w:cs="Arial" w:eastAsia="Arial" w:hAnsi="Arial"/>
          <w:b/>
          <w:bCs/>
          <w:color w:val="FFFFFF"/>
          <w:sz w:val="34"/>
          <w:szCs w:val="34"/>
        </w:rPr>
        <w:t xml:space="preserve">V.2  Color System  (Updated v1.1)</w:t>
      </w:r>
    </w:p>
    <w:p>
      <w:pPr>
        <w:spacing w:after="0" w:before="100"/>
      </w:pPr>
      <w:r>
        <w:t xml:space="preserve"/>
      </w:r>
    </w:p>
    <w:p>
      <w:pPr>
        <w:pBdr>
          <w:left w:val="single" w:color="00ACC1" w:sz="10"/>
        </w:pBdr>
        <w:shd w:fill="EFF6FB" w:val="clear"/>
        <w:spacing w:after="160" w:before="160"/>
        <w:ind w:left="360" w:right="360"/>
      </w:pPr>
      <w:r>
        <w:rPr>
          <w:rFonts w:ascii="Arial" w:cs="Arial" w:eastAsia="Arial" w:hAnsi="Arial"/>
          <w:i/>
          <w:iCs/>
          <w:color w:val="0D2B55"/>
          <w:sz w:val="20"/>
          <w:szCs w:val="20"/>
        </w:rPr>
        <w:t xml:space="preserve">CHANGE IN v1.1: The sidebar background has been unified with the main shell. The previous distinct navy (#1B3A6B) sidebar is replaced with the same dark surface family used throughout the app. The visual separation between sidebar and content is now achieved solely through a subtle 1px border, not a color contrast. This creates a single cohesive dark environment rather than two competing panels.</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V.2.1  Background Layers  (Revised)</w:t>
      </w:r>
    </w:p>
    <w:p>
      <w:pPr>
        <w:spacing w:after="60" w:before="60"/>
      </w:pPr>
      <w:r>
        <w:rPr>
          <w:rFonts w:ascii="Arial" w:cs="Arial" w:eastAsia="Arial" w:hAnsi="Arial"/>
          <w:color w:val="2E3A47"/>
          <w:sz w:val="20"/>
          <w:szCs w:val="20"/>
        </w:rPr>
        <w:t xml:space="preserve">The unified dark shell uses four layers of the same dark slate family. Each layer is marginally lighter than the one behind it, creating depth through surface elevation rather than color contrast.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rPr>
          <w:tblHeader/>
        </w:trPr>
        <w:tc>
          <w:tcPr>
            <w:tcW w:type="dxa" w:w="26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Token</w:t>
            </w:r>
          </w:p>
        </w:tc>
        <w:tc>
          <w:tcPr>
            <w:tcW w:type="dxa" w:w="22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Dark Mode Value</w:t>
            </w:r>
          </w:p>
        </w:tc>
        <w:tc>
          <w:tcPr>
            <w:tcW w:type="dxa" w:w="20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Light Mode Value</w:t>
            </w:r>
          </w:p>
        </w:tc>
        <w:tc>
          <w:tcPr>
            <w:tcW w:type="dxa" w:w="256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Used For</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--px-bg-base</w:t>
            </w:r>
          </w:p>
        </w:tc>
        <w:tc>
          <w:tcPr>
            <w:tcW w:type="dxa" w:w="2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#0D1625</w:t>
            </w:r>
          </w:p>
        </w:tc>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#F0F2F5</w:t>
            </w:r>
          </w:p>
        </w:tc>
        <w:tc>
          <w:tcPr>
            <w:tcW w:type="dxa" w:w="25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Outermost page background. Nothing sits directly on this.</w:t>
            </w:r>
          </w:p>
        </w:tc>
      </w:tr>
      <w:tr>
        <w:tc>
          <w:tcPr>
            <w:tcW w:type="dxa" w:w="2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--px-bg-shell</w:t>
            </w:r>
          </w:p>
        </w:tc>
        <w:tc>
          <w:tcPr>
            <w:tcW w:type="dxa" w:w="2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#111929</w:t>
            </w:r>
          </w:p>
        </w:tc>
        <w:tc>
          <w:tcPr>
            <w:tcW w:type="dxa" w:w="2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#F8FAFB</w:t>
            </w:r>
          </w:p>
        </w:tc>
        <w:tc>
          <w:tcPr>
            <w:tcW w:type="dxa" w:w="25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Sidebar, top bar. The persistent chrome of the application. Was previously navy (#1B3A6B) - now unified with the dark base family.</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--px-bg-surface</w:t>
            </w:r>
          </w:p>
        </w:tc>
        <w:tc>
          <w:tcPr>
            <w:tcW w:type="dxa" w:w="2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#141E30</w:t>
            </w:r>
          </w:p>
        </w:tc>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#FFFFFF</w:t>
            </w:r>
          </w:p>
        </w:tc>
        <w:tc>
          <w:tcPr>
            <w:tcW w:type="dxa" w:w="25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Cards, panels, primary content containers.</w:t>
            </w:r>
          </w:p>
        </w:tc>
      </w:tr>
      <w:tr>
        <w:tc>
          <w:tcPr>
            <w:tcW w:type="dxa" w:w="2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--px-bg-elevated</w:t>
            </w:r>
          </w:p>
        </w:tc>
        <w:tc>
          <w:tcPr>
            <w:tcW w:type="dxa" w:w="2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#1A2640</w:t>
            </w:r>
          </w:p>
        </w:tc>
        <w:tc>
          <w:tcPr>
            <w:tcW w:type="dxa" w:w="2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#F4F6F8</w:t>
            </w:r>
          </w:p>
        </w:tc>
        <w:tc>
          <w:tcPr>
            <w:tcW w:type="dxa" w:w="25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Hover states, selected rows, metric cards, dropdown menus.</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--px-bg-overlay</w:t>
            </w:r>
          </w:p>
        </w:tc>
        <w:tc>
          <w:tcPr>
            <w:tcW w:type="dxa" w:w="2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#222F4A</w:t>
            </w:r>
          </w:p>
        </w:tc>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#EEF0F4</w:t>
            </w:r>
          </w:p>
        </w:tc>
        <w:tc>
          <w:tcPr>
            <w:tcW w:type="dxa" w:w="25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Modal backgrounds, popover panels, tooltips.</w:t>
            </w:r>
          </w:p>
        </w:tc>
      </w:tr>
    </w:tbl>
    <w:p>
      <w:pPr>
        <w:spacing w:after="0" w:before="100"/>
      </w:pPr>
      <w:r>
        <w:t xml:space="preserve"/>
      </w:r>
    </w:p>
    <w:p>
      <w:pPr>
        <w:pBdr>
          <w:left w:val="single" w:color="C62828" w:sz="10"/>
        </w:pBdr>
        <w:shd w:fill="FEEBEE" w:val="clear"/>
        <w:spacing w:after="160" w:before="160"/>
        <w:ind w:left="360" w:right="360"/>
      </w:pPr>
      <w:r>
        <w:rPr>
          <w:rFonts w:ascii="Arial" w:cs="Arial" w:eastAsia="Arial" w:hAnsi="Arial"/>
          <w:i/>
          <w:iCs/>
          <w:color w:val="0D2B55"/>
          <w:sz w:val="20"/>
          <w:szCs w:val="20"/>
        </w:rPr>
        <w:t xml:space="preserve">The sidebar background token changed from --px-navy-400 (#1B3A6B) to --px-bg-shell (#111929). Any component or layout code referencing the old navy value must be updated. Search the codebase for #1B3A6B and replace with var(--px-bg-shell).</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V.2.2  Sidebar Visual Separation</w:t>
      </w:r>
    </w:p>
    <w:p>
      <w:pPr>
        <w:spacing w:after="60" w:before="60"/>
      </w:pPr>
      <w:r>
        <w:rPr>
          <w:rFonts w:ascii="Arial" w:cs="Arial" w:eastAsia="Arial" w:hAnsi="Arial"/>
          <w:color w:val="2E3A47"/>
          <w:sz w:val="20"/>
          <w:szCs w:val="20"/>
        </w:rPr>
        <w:t xml:space="preserve">Without the navy background distinguishing the sidebar, separation is achieved through two elements only:</w:t>
      </w:r>
    </w:p>
    <w:p>
      <w:pPr>
        <w:pStyle w:val="ListParagraph"/>
        <w:numPr>
          <w:ilvl w:val="0"/>
          <w:numId w:val="2"/>
        </w:numPr>
        <w:spacing w:after="50" w:before="50"/>
      </w:pPr>
      <w:r>
        <w:rPr>
          <w:rFonts w:ascii="Arial" w:cs="Arial" w:eastAsia="Arial" w:hAnsi="Arial"/>
          <w:b w:val="false"/>
          <w:bCs w:val="false"/>
          <w:color w:val="2E3A47"/>
          <w:sz w:val="20"/>
          <w:szCs w:val="20"/>
        </w:rPr>
        <w:t xml:space="preserve">A 1px right border on the sidebar using --px-border-subtle (rgba(255,255,255,0.06))</w:t>
      </w:r>
    </w:p>
    <w:p>
      <w:pPr>
        <w:pStyle w:val="ListParagraph"/>
        <w:numPr>
          <w:ilvl w:val="0"/>
          <w:numId w:val="2"/>
        </w:numPr>
        <w:spacing w:after="50" w:before="50"/>
      </w:pPr>
      <w:r>
        <w:rPr>
          <w:rFonts w:ascii="Arial" w:cs="Arial" w:eastAsia="Arial" w:hAnsi="Arial"/>
          <w:b w:val="false"/>
          <w:bCs w:val="false"/>
          <w:color w:val="2E3A47"/>
          <w:sz w:val="20"/>
          <w:szCs w:val="20"/>
        </w:rPr>
        <w:t xml:space="preserve">The teal left border (3px, --px-teal-500) and teal background tint (--px-teal-900-bg) on the active navigation item</w:t>
      </w:r>
    </w:p>
    <w:p>
      <w:pPr>
        <w:spacing w:after="60" w:before="60"/>
      </w:pPr>
      <w:r>
        <w:rPr>
          <w:rFonts w:ascii="Arial" w:cs="Arial" w:eastAsia="Arial" w:hAnsi="Arial"/>
          <w:color w:val="2E3A47"/>
          <w:sz w:val="20"/>
          <w:szCs w:val="20"/>
        </w:rPr>
        <w:t xml:space="preserve">Nothing else. No shadow. No gradient. No color contrast. The sidebar earns its separation through structure and the active indicator, not background differentiation.</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V.2.3  Brand and Accent Colors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Token</w:t>
            </w:r>
          </w:p>
        </w:tc>
        <w:tc>
          <w:tcPr>
            <w:tcW w:type="dxa" w:w="20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Value</w:t>
            </w:r>
          </w:p>
        </w:tc>
        <w:tc>
          <w:tcPr>
            <w:tcW w:type="dxa" w:w="496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Used For</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--px-teal-500</w:t>
            </w:r>
          </w:p>
        </w:tc>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#00BCD4</w:t>
            </w:r>
          </w:p>
        </w:tc>
        <w:tc>
          <w:tcPr>
            <w:tcW w:type="dxa" w:w="49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Primary interactive accent: buttons, links, active nav items, progress bars</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--px-teal-300</w:t>
            </w:r>
          </w:p>
        </w:tc>
        <w:tc>
          <w:tcPr>
            <w:tcW w:type="dxa" w:w="2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#4DD6E8</w:t>
            </w:r>
          </w:p>
        </w:tc>
        <w:tc>
          <w:tcPr>
            <w:tcW w:type="dxa" w:w="49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Hover state for teal elements</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--px-teal-700</w:t>
            </w:r>
          </w:p>
        </w:tc>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#0097A7</w:t>
            </w:r>
          </w:p>
        </w:tc>
        <w:tc>
          <w:tcPr>
            <w:tcW w:type="dxa" w:w="49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Active/pressed state for teal elements</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--px-teal-900-bg</w:t>
            </w:r>
          </w:p>
        </w:tc>
        <w:tc>
          <w:tcPr>
            <w:tcW w:type="dxa" w:w="2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#003540</w:t>
            </w:r>
          </w:p>
        </w:tc>
        <w:tc>
          <w:tcPr>
            <w:tcW w:type="dxa" w:w="49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Teal background tint for active nav item and info callout cards</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--px-gold-500</w:t>
            </w:r>
          </w:p>
        </w:tc>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#F9A825</w:t>
            </w:r>
          </w:p>
        </w:tc>
        <w:tc>
          <w:tcPr>
            <w:tcW w:type="dxa" w:w="49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Warning accent, PM Coach indicator, caution badges</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--px-gold-900-bg</w:t>
            </w:r>
          </w:p>
        </w:tc>
        <w:tc>
          <w:tcPr>
            <w:tcW w:type="dxa" w:w="2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#2D2000</w:t>
            </w:r>
          </w:p>
        </w:tc>
        <w:tc>
          <w:tcPr>
            <w:tcW w:type="dxa" w:w="49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Gold background tint for coach and warning callout cards</w:t>
            </w:r>
          </w:p>
        </w:tc>
      </w:tr>
    </w:tbl>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V.2.4  Status Colors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800"/>
        <w:gridCol w:w="1760"/>
      </w:tblGrid>
      <w:tr>
        <w:trPr>
          <w:tblHeader/>
        </w:trPr>
        <w:tc>
          <w:tcPr>
            <w:tcW w:type="dxa" w:w="20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Status</w:t>
            </w:r>
          </w:p>
        </w:tc>
        <w:tc>
          <w:tcPr>
            <w:tcW w:type="dxa" w:w="20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Token</w:t>
            </w:r>
          </w:p>
        </w:tc>
        <w:tc>
          <w:tcPr>
            <w:tcW w:type="dxa" w:w="18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Dark Value</w:t>
            </w:r>
          </w:p>
        </w:tc>
        <w:tc>
          <w:tcPr>
            <w:tcW w:type="dxa" w:w="18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Light Value</w:t>
            </w:r>
          </w:p>
        </w:tc>
        <w:tc>
          <w:tcPr>
            <w:tcW w:type="dxa" w:w="176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Used On</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On Track / Complete</w:t>
            </w:r>
          </w:p>
        </w:tc>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--px-green-500</w:t>
            </w:r>
          </w:p>
        </w:tc>
        <w:tc>
          <w:tcPr>
            <w:tcW w:type="dxa" w:w="1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#4CAF50</w:t>
            </w:r>
          </w:p>
        </w:tc>
        <w:tc>
          <w:tcPr>
            <w:tcW w:type="dxa" w:w="1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#2E7D32</w:t>
            </w:r>
          </w:p>
        </w:tc>
        <w:tc>
          <w:tcPr>
            <w:tcW w:type="dxa" w:w="17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Gantt bars, status badges, progress rings</w:t>
            </w:r>
          </w:p>
        </w:tc>
      </w:tr>
      <w:tr>
        <w:tc>
          <w:tcPr>
            <w:tcW w:type="dxa" w:w="2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At Risk / Warning</w:t>
            </w:r>
          </w:p>
        </w:tc>
        <w:tc>
          <w:tcPr>
            <w:tcW w:type="dxa" w:w="2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--px-amber-500</w:t>
            </w:r>
          </w:p>
        </w:tc>
        <w:tc>
          <w:tcPr>
            <w:tcW w:type="dxa" w:w="1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#FFC107</w:t>
            </w:r>
          </w:p>
        </w:tc>
        <w:tc>
          <w:tcPr>
            <w:tcW w:type="dxa" w:w="1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#F57F17</w:t>
            </w:r>
          </w:p>
        </w:tc>
        <w:tc>
          <w:tcPr>
            <w:tcW w:type="dxa" w:w="17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Tasks approaching due, budget at 75%+</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Overdue / Critical</w:t>
            </w:r>
          </w:p>
        </w:tc>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--px-red-500</w:t>
            </w:r>
          </w:p>
        </w:tc>
        <w:tc>
          <w:tcPr>
            <w:tcW w:type="dxa" w:w="1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#F44336</w:t>
            </w:r>
          </w:p>
        </w:tc>
        <w:tc>
          <w:tcPr>
            <w:tcW w:type="dxa" w:w="1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#C62828</w:t>
            </w:r>
          </w:p>
        </w:tc>
        <w:tc>
          <w:tcPr>
            <w:tcW w:type="dxa" w:w="17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Overdue tasks, SLA breach, over-budget</w:t>
            </w:r>
          </w:p>
        </w:tc>
      </w:tr>
      <w:tr>
        <w:tc>
          <w:tcPr>
            <w:tcW w:type="dxa" w:w="2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Not Started</w:t>
            </w:r>
          </w:p>
        </w:tc>
        <w:tc>
          <w:tcPr>
            <w:tcW w:type="dxa" w:w="2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--px-gray-500</w:t>
            </w:r>
          </w:p>
        </w:tc>
        <w:tc>
          <w:tcPr>
            <w:tcW w:type="dxa" w:w="1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#546E7A</w:t>
            </w:r>
          </w:p>
        </w:tc>
        <w:tc>
          <w:tcPr>
            <w:tcW w:type="dxa" w:w="1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#78909C</w:t>
            </w:r>
          </w:p>
        </w:tc>
        <w:tc>
          <w:tcPr>
            <w:tcW w:type="dxa" w:w="17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Unstarted tasks, placeholder Gantt bars</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Blocked</w:t>
            </w:r>
          </w:p>
        </w:tc>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--px-orange-500</w:t>
            </w:r>
          </w:p>
        </w:tc>
        <w:tc>
          <w:tcPr>
            <w:tcW w:type="dxa" w:w="1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#FF7043</w:t>
            </w:r>
          </w:p>
        </w:tc>
        <w:tc>
          <w:tcPr>
            <w:tcW w:type="dxa" w:w="1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#BF360C</w:t>
            </w:r>
          </w:p>
        </w:tc>
        <w:tc>
          <w:tcPr>
            <w:tcW w:type="dxa" w:w="17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Blocked tasks only</w:t>
            </w:r>
          </w:p>
        </w:tc>
      </w:tr>
      <w:tr>
        <w:tc>
          <w:tcPr>
            <w:tcW w:type="dxa" w:w="2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In Progress</w:t>
            </w:r>
          </w:p>
        </w:tc>
        <w:tc>
          <w:tcPr>
            <w:tcW w:type="dxa" w:w="2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--px-teal-500</w:t>
            </w:r>
          </w:p>
        </w:tc>
        <w:tc>
          <w:tcPr>
            <w:tcW w:type="dxa" w:w="1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#00BCD4</w:t>
            </w:r>
          </w:p>
        </w:tc>
        <w:tc>
          <w:tcPr>
            <w:tcW w:type="dxa" w:w="1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#0097A7</w:t>
            </w:r>
          </w:p>
        </w:tc>
        <w:tc>
          <w:tcPr>
            <w:tcW w:type="dxa" w:w="17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Active tasks, current sprint, active phase</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On Hold</w:t>
            </w:r>
          </w:p>
        </w:tc>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--px-purple-500</w:t>
            </w:r>
          </w:p>
        </w:tc>
        <w:tc>
          <w:tcPr>
            <w:tcW w:type="dxa" w:w="1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#7E57C2</w:t>
            </w:r>
          </w:p>
        </w:tc>
        <w:tc>
          <w:tcPr>
            <w:tcW w:type="dxa" w:w="1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#4527A0</w:t>
            </w:r>
          </w:p>
        </w:tc>
        <w:tc>
          <w:tcPr>
            <w:tcW w:type="dxa" w:w="17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Paused tasks, suspended projects</w:t>
            </w:r>
          </w:p>
        </w:tc>
      </w:tr>
    </w:tbl>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V.2.5  Text Colors  (Unchanged)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160"/>
      </w:tblGrid>
      <w:tr>
        <w:trPr>
          <w:tblHeader/>
        </w:trPr>
        <w:tc>
          <w:tcPr>
            <w:tcW w:type="dxa" w:w="24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Token</w:t>
            </w:r>
          </w:p>
        </w:tc>
        <w:tc>
          <w:tcPr>
            <w:tcW w:type="dxa" w:w="20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Dark Mode</w:t>
            </w:r>
          </w:p>
        </w:tc>
        <w:tc>
          <w:tcPr>
            <w:tcW w:type="dxa" w:w="20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Light Mode</w:t>
            </w:r>
          </w:p>
        </w:tc>
        <w:tc>
          <w:tcPr>
            <w:tcW w:type="dxa" w:w="316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Used For</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--px-text-primary</w:t>
            </w:r>
          </w:p>
        </w:tc>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#E8EDF5</w:t>
            </w:r>
          </w:p>
        </w:tc>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#1A2640</w:t>
            </w:r>
          </w:p>
        </w:tc>
        <w:tc>
          <w:tcPr>
            <w:tcW w:type="dxa" w:w="3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Primary content: task names, headings, key data</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--px-text-secondary</w:t>
            </w:r>
          </w:p>
        </w:tc>
        <w:tc>
          <w:tcPr>
            <w:tcW w:type="dxa" w:w="2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#8A9BB5</w:t>
            </w:r>
          </w:p>
        </w:tc>
        <w:tc>
          <w:tcPr>
            <w:tcW w:type="dxa" w:w="2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#4A5568</w:t>
            </w:r>
          </w:p>
        </w:tc>
        <w:tc>
          <w:tcPr>
            <w:tcW w:type="dxa" w:w="3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Supporting content: labels, metadata, timestamps</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--px-text-tertiary</w:t>
            </w:r>
          </w:p>
        </w:tc>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#556175</w:t>
            </w:r>
          </w:p>
        </w:tc>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#718096</w:t>
            </w:r>
          </w:p>
        </w:tc>
        <w:tc>
          <w:tcPr>
            <w:tcW w:type="dxa" w:w="3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Hints, placeholders, nav section headers, disabled text</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--px-text-inverse</w:t>
            </w:r>
          </w:p>
        </w:tc>
        <w:tc>
          <w:tcPr>
            <w:tcW w:type="dxa" w:w="2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#0D1625</w:t>
            </w:r>
          </w:p>
        </w:tc>
        <w:tc>
          <w:tcPr>
            <w:tcW w:type="dxa" w:w="2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#FFFFFF</w:t>
            </w:r>
          </w:p>
        </w:tc>
        <w:tc>
          <w:tcPr>
            <w:tcW w:type="dxa" w:w="3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Text on colored backgrounds (teal buttons, status badges)</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--px-text-accent</w:t>
            </w:r>
          </w:p>
        </w:tc>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#00BCD4</w:t>
            </w:r>
          </w:p>
        </w:tc>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#0097A7</w:t>
            </w:r>
          </w:p>
        </w:tc>
        <w:tc>
          <w:tcPr>
            <w:tcW w:type="dxa" w:w="3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Links, clickable text, interactive labels</w:t>
            </w:r>
          </w:p>
        </w:tc>
      </w:tr>
    </w:tbl>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V.2.6  Border and Divider Colors  (Unchanged)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760"/>
      </w:tblGrid>
      <w:tr>
        <w:trPr>
          <w:tblHeader/>
        </w:trPr>
        <w:tc>
          <w:tcPr>
            <w:tcW w:type="dxa" w:w="24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Token</w:t>
            </w:r>
          </w:p>
        </w:tc>
        <w:tc>
          <w:tcPr>
            <w:tcW w:type="dxa" w:w="22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Dark Mode</w:t>
            </w:r>
          </w:p>
        </w:tc>
        <w:tc>
          <w:tcPr>
            <w:tcW w:type="dxa" w:w="22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Light Mode</w:t>
            </w:r>
          </w:p>
        </w:tc>
        <w:tc>
          <w:tcPr>
            <w:tcW w:type="dxa" w:w="276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Used For</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--px-border-subtle</w:t>
            </w:r>
          </w:p>
        </w:tc>
        <w:tc>
          <w:tcPr>
            <w:tcW w:type="dxa" w:w="2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rgba(255,255,255,0.06)</w:t>
            </w:r>
          </w:p>
        </w:tc>
        <w:tc>
          <w:tcPr>
            <w:tcW w:type="dxa" w:w="2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rgba(0,0,0,0.06)</w:t>
            </w:r>
          </w:p>
        </w:tc>
        <w:tc>
          <w:tcPr>
            <w:tcW w:type="dxa" w:w="27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Card borders, table row dividers, sidebar right border</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--px-border-default</w:t>
            </w:r>
          </w:p>
        </w:tc>
        <w:tc>
          <w:tcPr>
            <w:tcW w:type="dxa" w:w="2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rgba(255,255,255,0.12)</w:t>
            </w:r>
          </w:p>
        </w:tc>
        <w:tc>
          <w:tcPr>
            <w:tcW w:type="dxa" w:w="2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rgba(0,0,0,0.12)</w:t>
            </w:r>
          </w:p>
        </w:tc>
        <w:tc>
          <w:tcPr>
            <w:tcW w:type="dxa" w:w="27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Input fields, dropdown borders, modal edges</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--px-border-strong</w:t>
            </w:r>
          </w:p>
        </w:tc>
        <w:tc>
          <w:tcPr>
            <w:tcW w:type="dxa" w:w="2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rgba(255,255,255,0.24)</w:t>
            </w:r>
          </w:p>
        </w:tc>
        <w:tc>
          <w:tcPr>
            <w:tcW w:type="dxa" w:w="2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rgba(0,0,0,0.24)</w:t>
            </w:r>
          </w:p>
        </w:tc>
        <w:tc>
          <w:tcPr>
            <w:tcW w:type="dxa" w:w="27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Active input focus rings, selected card borders</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--px-border-accent</w:t>
            </w:r>
          </w:p>
        </w:tc>
        <w:tc>
          <w:tcPr>
            <w:tcW w:type="dxa" w:w="2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#00BCD4</w:t>
            </w:r>
          </w:p>
        </w:tc>
        <w:tc>
          <w:tcPr>
            <w:tcW w:type="dxa" w:w="2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#0097A7</w:t>
            </w:r>
          </w:p>
        </w:tc>
        <w:tc>
          <w:tcPr>
            <w:tcW w:type="dxa" w:w="27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Active nav item left border (3px), active tabs</w:t>
            </w:r>
          </w:p>
        </w:tc>
      </w:tr>
    </w:tbl>
    <w:p>
      <w:pPr>
        <w:spacing w:after="0" w:before="100"/>
      </w:pPr>
      <w:r>
        <w:t xml:space="preserve"/>
      </w:r>
    </w:p>
    <w:p>
      <w:r>
        <w:br w:type="page"/>
      </w:r>
    </w:p>
    <w:p>
      <w:pPr>
        <w:pStyle w:val="Heading1"/>
        <w:shd w:fill="0D2B55" w:val="clear"/>
        <w:spacing w:after="240" w:before="480"/>
        <w:ind w:left="240"/>
      </w:pPr>
      <w:r>
        <w:rPr>
          <w:rFonts w:ascii="Arial" w:cs="Arial" w:eastAsia="Arial" w:hAnsi="Arial"/>
          <w:b/>
          <w:bCs/>
          <w:color w:val="FFFFFF"/>
          <w:sz w:val="34"/>
          <w:szCs w:val="34"/>
        </w:rPr>
        <w:t xml:space="preserve">V.3  Typography  (Unchanged from v1.0)</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V.3.1  Typeface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rPr>
          <w:tblHeader/>
        </w:trPr>
        <w:tc>
          <w:tcPr>
            <w:tcW w:type="dxa" w:w="20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Role</w:t>
            </w:r>
          </w:p>
        </w:tc>
        <w:tc>
          <w:tcPr>
            <w:tcW w:type="dxa" w:w="22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Family</w:t>
            </w:r>
          </w:p>
        </w:tc>
        <w:tc>
          <w:tcPr>
            <w:tcW w:type="dxa" w:w="20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Fallback</w:t>
            </w:r>
          </w:p>
        </w:tc>
        <w:tc>
          <w:tcPr>
            <w:tcW w:type="dxa" w:w="316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Rationale</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UI / Interface</w:t>
            </w:r>
          </w:p>
        </w:tc>
        <w:tc>
          <w:tcPr>
            <w:tcW w:type="dxa" w:w="2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Inter</w:t>
            </w:r>
          </w:p>
        </w:tc>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system-ui, -apple-system, sans-serif</w:t>
            </w:r>
          </w:p>
        </w:tc>
        <w:tc>
          <w:tcPr>
            <w:tcW w:type="dxa" w:w="3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Purpose-built for screen interfaces. Excellent at 11-13px. Tabular numbers keep data tables stable.</w:t>
            </w:r>
          </w:p>
        </w:tc>
      </w:tr>
      <w:tr>
        <w:tc>
          <w:tcPr>
            <w:tcW w:type="dxa" w:w="2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Data / Monospace</w:t>
            </w:r>
          </w:p>
        </w:tc>
        <w:tc>
          <w:tcPr>
            <w:tcW w:type="dxa" w:w="2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JetBrains Mono</w:t>
            </w:r>
          </w:p>
        </w:tc>
        <w:tc>
          <w:tcPr>
            <w:tcW w:type="dxa" w:w="2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Menlo, Consolas, monospace</w:t>
            </w:r>
          </w:p>
        </w:tc>
        <w:tc>
          <w:tcPr>
            <w:tcW w:type="dxa" w:w="3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Task IDs, durations in minute format, any field where character alignment matters.</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Display (rare)</w:t>
            </w:r>
          </w:p>
        </w:tc>
        <w:tc>
          <w:tcPr>
            <w:tcW w:type="dxa" w:w="2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Inter Display</w:t>
            </w:r>
          </w:p>
        </w:tc>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Inter, sans-serif</w:t>
            </w:r>
          </w:p>
        </w:tc>
        <w:tc>
          <w:tcPr>
            <w:tcW w:type="dxa" w:w="3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Hero numbers on executive dashboards only. Never for body copy.</w:t>
            </w:r>
          </w:p>
        </w:tc>
      </w:tr>
    </w:tbl>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V.3.2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5160"/>
      </w:tblGrid>
      <w:tr>
        <w:trPr>
          <w:tblHeader/>
        </w:trPr>
        <w:tc>
          <w:tcPr>
            <w:tcW w:type="dxa" w:w="22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Role</w:t>
            </w:r>
          </w:p>
        </w:tc>
        <w:tc>
          <w:tcPr>
            <w:tcW w:type="dxa" w:w="10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Size</w:t>
            </w:r>
          </w:p>
        </w:tc>
        <w:tc>
          <w:tcPr>
            <w:tcW w:type="dxa" w:w="10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Weight</w:t>
            </w:r>
          </w:p>
        </w:tc>
        <w:tc>
          <w:tcPr>
            <w:tcW w:type="dxa" w:w="516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Used For</w:t>
            </w:r>
          </w:p>
        </w:tc>
      </w:tr>
      <w:tr>
        <w:tc>
          <w:tcPr>
            <w:tcW w:type="dxa" w:w="2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Display</w:t>
            </w:r>
          </w:p>
        </w:tc>
        <w:tc>
          <w:tcPr>
            <w:tcW w:type="dxa" w:w="1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32px</w:t>
            </w:r>
          </w:p>
        </w:tc>
        <w:tc>
          <w:tcPr>
            <w:tcW w:type="dxa" w:w="1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500</w:t>
            </w:r>
          </w:p>
        </w:tc>
        <w:tc>
          <w:tcPr>
            <w:tcW w:type="dxa" w:w="5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Hero metrics on exec dashboard only</w:t>
            </w:r>
          </w:p>
        </w:tc>
      </w:tr>
      <w:tr>
        <w:tc>
          <w:tcPr>
            <w:tcW w:type="dxa" w:w="2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Heading 1</w:t>
            </w:r>
          </w:p>
        </w:tc>
        <w:tc>
          <w:tcPr>
            <w:tcW w:type="dxa" w:w="1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22px</w:t>
            </w:r>
          </w:p>
        </w:tc>
        <w:tc>
          <w:tcPr>
            <w:tcW w:type="dxa" w:w="1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500</w:t>
            </w:r>
          </w:p>
        </w:tc>
        <w:tc>
          <w:tcPr>
            <w:tcW w:type="dxa" w:w="5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Page titles, modal titles</w:t>
            </w:r>
          </w:p>
        </w:tc>
      </w:tr>
      <w:tr>
        <w:tc>
          <w:tcPr>
            <w:tcW w:type="dxa" w:w="2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Heading 2</w:t>
            </w:r>
          </w:p>
        </w:tc>
        <w:tc>
          <w:tcPr>
            <w:tcW w:type="dxa" w:w="1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18px</w:t>
            </w:r>
          </w:p>
        </w:tc>
        <w:tc>
          <w:tcPr>
            <w:tcW w:type="dxa" w:w="1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500</w:t>
            </w:r>
          </w:p>
        </w:tc>
        <w:tc>
          <w:tcPr>
            <w:tcW w:type="dxa" w:w="5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Card section headers, panel titles</w:t>
            </w:r>
          </w:p>
        </w:tc>
      </w:tr>
      <w:tr>
        <w:tc>
          <w:tcPr>
            <w:tcW w:type="dxa" w:w="2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Heading 3</w:t>
            </w:r>
          </w:p>
        </w:tc>
        <w:tc>
          <w:tcPr>
            <w:tcW w:type="dxa" w:w="1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15px</w:t>
            </w:r>
          </w:p>
        </w:tc>
        <w:tc>
          <w:tcPr>
            <w:tcW w:type="dxa" w:w="1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500</w:t>
            </w:r>
          </w:p>
        </w:tc>
        <w:tc>
          <w:tcPr>
            <w:tcW w:type="dxa" w:w="5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Sub-section labels, table column headers</w:t>
            </w:r>
          </w:p>
        </w:tc>
      </w:tr>
      <w:tr>
        <w:tc>
          <w:tcPr>
            <w:tcW w:type="dxa" w:w="2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Body</w:t>
            </w:r>
          </w:p>
        </w:tc>
        <w:tc>
          <w:tcPr>
            <w:tcW w:type="dxa" w:w="1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14px</w:t>
            </w:r>
          </w:p>
        </w:tc>
        <w:tc>
          <w:tcPr>
            <w:tcW w:type="dxa" w:w="1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400</w:t>
            </w:r>
          </w:p>
        </w:tc>
        <w:tc>
          <w:tcPr>
            <w:tcW w:type="dxa" w:w="5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Task descriptions, comments, general content</w:t>
            </w:r>
          </w:p>
        </w:tc>
      </w:tr>
      <w:tr>
        <w:tc>
          <w:tcPr>
            <w:tcW w:type="dxa" w:w="2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Label</w:t>
            </w:r>
          </w:p>
        </w:tc>
        <w:tc>
          <w:tcPr>
            <w:tcW w:type="dxa" w:w="1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13px</w:t>
            </w:r>
          </w:p>
        </w:tc>
        <w:tc>
          <w:tcPr>
            <w:tcW w:type="dxa" w:w="1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500</w:t>
            </w:r>
          </w:p>
        </w:tc>
        <w:tc>
          <w:tcPr>
            <w:tcW w:type="dxa" w:w="5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Form labels, sidebar nav items, badge text</w:t>
            </w:r>
          </w:p>
        </w:tc>
      </w:tr>
      <w:tr>
        <w:tc>
          <w:tcPr>
            <w:tcW w:type="dxa" w:w="2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Caption</w:t>
            </w:r>
          </w:p>
        </w:tc>
        <w:tc>
          <w:tcPr>
            <w:tcW w:type="dxa" w:w="1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12px</w:t>
            </w:r>
          </w:p>
        </w:tc>
        <w:tc>
          <w:tcPr>
            <w:tcW w:type="dxa" w:w="1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400</w:t>
            </w:r>
          </w:p>
        </w:tc>
        <w:tc>
          <w:tcPr>
            <w:tcW w:type="dxa" w:w="5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Timestamps, metadata, helper text</w:t>
            </w:r>
          </w:p>
        </w:tc>
      </w:tr>
      <w:tr>
        <w:tc>
          <w:tcPr>
            <w:tcW w:type="dxa" w:w="2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Micro</w:t>
            </w:r>
          </w:p>
        </w:tc>
        <w:tc>
          <w:tcPr>
            <w:tcW w:type="dxa" w:w="1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11px</w:t>
            </w:r>
          </w:p>
        </w:tc>
        <w:tc>
          <w:tcPr>
            <w:tcW w:type="dxa" w:w="1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400</w:t>
            </w:r>
          </w:p>
        </w:tc>
        <w:tc>
          <w:tcPr>
            <w:tcW w:type="dxa" w:w="5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Tooltips, data table density mode. Never smaller.</w:t>
            </w:r>
          </w:p>
        </w:tc>
      </w:tr>
      <w:tr>
        <w:tc>
          <w:tcPr>
            <w:tcW w:type="dxa" w:w="2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Mono Data</w:t>
            </w:r>
          </w:p>
        </w:tc>
        <w:tc>
          <w:tcPr>
            <w:tcW w:type="dxa" w:w="1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13px</w:t>
            </w:r>
          </w:p>
        </w:tc>
        <w:tc>
          <w:tcPr>
            <w:tcW w:type="dxa" w:w="1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400</w:t>
            </w:r>
          </w:p>
        </w:tc>
        <w:tc>
          <w:tcPr>
            <w:tcW w:type="dxa" w:w="5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Durations, IDs, numeric data requiring alignment</w:t>
            </w:r>
          </w:p>
        </w:tc>
      </w:tr>
    </w:tbl>
    <w:p>
      <w:pPr>
        <w:spacing w:after="0" w:before="100"/>
      </w:pPr>
      <w:r>
        <w:t xml:space="preserve"/>
      </w:r>
    </w:p>
    <w:p>
      <w:pPr>
        <w:pBdr>
          <w:left w:val="single" w:color="C62828" w:sz="10"/>
        </w:pBdr>
        <w:shd w:fill="FEEBEE" w:val="clear"/>
        <w:spacing w:after="160" w:before="160"/>
        <w:ind w:left="360" w:right="360"/>
      </w:pPr>
      <w:r>
        <w:rPr>
          <w:rFonts w:ascii="Arial" w:cs="Arial" w:eastAsia="Arial" w:hAnsi="Arial"/>
          <w:i/>
          <w:iCs/>
          <w:color w:val="0D2B55"/>
          <w:sz w:val="20"/>
          <w:szCs w:val="20"/>
        </w:rPr>
        <w:t xml:space="preserve">11px is the absolute minimum. No text in Planix is ever smaller than 11px at 100% zoom.</w:t>
      </w:r>
    </w:p>
    <w:p>
      <w:pPr>
        <w:spacing w:after="0" w:before="100"/>
      </w:pPr>
      <w:r>
        <w:t xml:space="preserve"/>
      </w:r>
    </w:p>
    <w:p>
      <w:r>
        <w:br w:type="page"/>
      </w:r>
    </w:p>
    <w:p>
      <w:pPr>
        <w:pStyle w:val="Heading1"/>
        <w:shd w:fill="0D2B55" w:val="clear"/>
        <w:spacing w:after="240" w:before="480"/>
        <w:ind w:left="240"/>
      </w:pPr>
      <w:r>
        <w:rPr>
          <w:rFonts w:ascii="Arial" w:cs="Arial" w:eastAsia="Arial" w:hAnsi="Arial"/>
          <w:b/>
          <w:bCs/>
          <w:color w:val="FFFFFF"/>
          <w:sz w:val="34"/>
          <w:szCs w:val="34"/>
        </w:rPr>
        <w:t xml:space="preserve">V.4  Layout Architecture  (Updated v1.1)</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V.4.1  Shell Structure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Zone</w:t>
            </w:r>
          </w:p>
        </w:tc>
        <w:tc>
          <w:tcPr>
            <w:tcW w:type="dxa" w:w="22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Width / Height</w:t>
            </w:r>
          </w:p>
        </w:tc>
        <w:tc>
          <w:tcPr>
            <w:tcW w:type="dxa" w:w="24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Background Token</w:t>
            </w:r>
          </w:p>
        </w:tc>
        <w:tc>
          <w:tcPr>
            <w:tcW w:type="dxa" w:w="256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Contents</w:t>
            </w:r>
          </w:p>
        </w:tc>
      </w:tr>
      <w:tr>
        <w:tc>
          <w:tcPr>
            <w:tcW w:type="dxa" w:w="2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Left Sidebar</w:t>
            </w:r>
          </w:p>
        </w:tc>
        <w:tc>
          <w:tcPr>
            <w:tcW w:type="dxa" w:w="2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220px fixed, full height</w:t>
            </w:r>
          </w:p>
        </w:tc>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--px-bg-shell (#111929)</w:t>
            </w:r>
          </w:p>
        </w:tc>
        <w:tc>
          <w:tcPr>
            <w:tcW w:type="dxa" w:w="25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Planix logo, org switcher, primary nav, project list, user avatar. Separated from content by 1px --px-border-subtle right border only.</w:t>
            </w:r>
          </w:p>
        </w:tc>
      </w:tr>
      <w:tr>
        <w:tc>
          <w:tcPr>
            <w:tcW w:type="dxa" w:w="2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Top Bar</w:t>
            </w:r>
          </w:p>
        </w:tc>
        <w:tc>
          <w:tcPr>
            <w:tcW w:type="dxa" w:w="2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Full width, 52px fixed</w:t>
            </w:r>
          </w:p>
        </w:tc>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--px-bg-shell (#111929)</w:t>
            </w:r>
          </w:p>
        </w:tc>
        <w:tc>
          <w:tcPr>
            <w:tcW w:type="dxa" w:w="25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Page title, breadcrumb, search, notification bell, dark/light toggle, user menu. Unified with sidebar.</w:t>
            </w:r>
          </w:p>
        </w:tc>
      </w:tr>
      <w:tr>
        <w:tc>
          <w:tcPr>
            <w:tcW w:type="dxa" w:w="2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Content Zone</w:t>
            </w:r>
          </w:p>
        </w:tc>
        <w:tc>
          <w:tcPr>
            <w:tcW w:type="dxa" w:w="2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Remaining width, full height minus top bar</w:t>
            </w:r>
          </w:p>
        </w:tc>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--px-bg-base (#0D1625)</w:t>
            </w:r>
          </w:p>
        </w:tc>
        <w:tc>
          <w:tcPr>
            <w:tcW w:type="dxa" w:w="25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The scrollable work area. Cards sit on this base at --px-bg-surface.</w:t>
            </w:r>
          </w:p>
        </w:tc>
      </w:tr>
    </w:tbl>
    <w:p>
      <w:pPr>
        <w:spacing w:after="0" w:before="100"/>
      </w:pPr>
      <w:r>
        <w:t xml:space="preserve"/>
      </w:r>
    </w:p>
    <w:p>
      <w:pPr>
        <w:spacing w:after="60" w:before="60"/>
      </w:pPr>
      <w:r>
        <w:rPr>
          <w:rFonts w:ascii="Arial" w:cs="Arial" w:eastAsia="Arial" w:hAnsi="Arial"/>
          <w:color w:val="2E3A47"/>
          <w:sz w:val="20"/>
          <w:szCs w:val="20"/>
        </w:rPr>
        <w:t xml:space="preserve">The key change from v1.0: the sidebar and top bar now share --px-bg-shell, making them read as a unified chrome layer rather than two separate elements. The content zone remains at --px-bg-base, creating a subtle depth step between chrome and content.</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V.4.2  Content Grid  (Unchanged)</w:t>
      </w:r>
    </w:p>
    <w:p>
      <w:pPr>
        <w:pStyle w:val="ListParagraph"/>
        <w:numPr>
          <w:ilvl w:val="0"/>
          <w:numId w:val="2"/>
        </w:numPr>
        <w:spacing w:after="50" w:before="50"/>
      </w:pPr>
      <w:r>
        <w:rPr>
          <w:rFonts w:ascii="Arial" w:cs="Arial" w:eastAsia="Arial" w:hAnsi="Arial"/>
          <w:b w:val="false"/>
          <w:bCs w:val="false"/>
          <w:color w:val="2E3A47"/>
          <w:sz w:val="20"/>
          <w:szCs w:val="20"/>
        </w:rPr>
        <w:t xml:space="preserve">12-column grid with 24px gutters in the content zone</w:t>
      </w:r>
    </w:p>
    <w:p>
      <w:pPr>
        <w:pStyle w:val="ListParagraph"/>
        <w:numPr>
          <w:ilvl w:val="0"/>
          <w:numId w:val="2"/>
        </w:numPr>
        <w:spacing w:after="50" w:before="50"/>
      </w:pPr>
      <w:r>
        <w:rPr>
          <w:rFonts w:ascii="Arial" w:cs="Arial" w:eastAsia="Arial" w:hAnsi="Arial"/>
          <w:b w:val="false"/>
          <w:bCs w:val="false"/>
          <w:color w:val="2E3A47"/>
          <w:sz w:val="20"/>
          <w:szCs w:val="20"/>
        </w:rPr>
        <w:t xml:space="preserve">Project dashboard: 8-col main content, 4-col right panel</w:t>
      </w:r>
    </w:p>
    <w:p>
      <w:pPr>
        <w:pStyle w:val="ListParagraph"/>
        <w:numPr>
          <w:ilvl w:val="0"/>
          <w:numId w:val="2"/>
        </w:numPr>
        <w:spacing w:after="50" w:before="50"/>
      </w:pPr>
      <w:r>
        <w:rPr>
          <w:rFonts w:ascii="Arial" w:cs="Arial" w:eastAsia="Arial" w:hAnsi="Arial"/>
          <w:b w:val="false"/>
          <w:bCs w:val="false"/>
          <w:color w:val="2E3A47"/>
          <w:sz w:val="20"/>
          <w:szCs w:val="20"/>
        </w:rPr>
        <w:t xml:space="preserve">All page layouts defined in component spec, not decided per-developer</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V.4.3  Responsive Breakpoints  (Unchanged)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760"/>
      </w:tblGrid>
      <w:tr>
        <w:trPr>
          <w:tblHeader/>
        </w:trPr>
        <w:tc>
          <w:tcPr>
            <w:tcW w:type="dxa" w:w="24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Breakpoint</w:t>
            </w:r>
          </w:p>
        </w:tc>
        <w:tc>
          <w:tcPr>
            <w:tcW w:type="dxa" w:w="24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Width</w:t>
            </w:r>
          </w:p>
        </w:tc>
        <w:tc>
          <w:tcPr>
            <w:tcW w:type="dxa" w:w="476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Behavior</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Desktop XL</w:t>
            </w:r>
          </w:p>
        </w:tc>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1440px+</w:t>
            </w:r>
          </w:p>
        </w:tc>
        <w:tc>
          <w:tcPr>
            <w:tcW w:type="dxa" w:w="47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Full layout. Sidebar 220px. Right panel visible.</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Desktop</w:t>
            </w:r>
          </w:p>
        </w:tc>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1280px - 1439px</w:t>
            </w:r>
          </w:p>
        </w:tc>
        <w:tc>
          <w:tcPr>
            <w:tcW w:type="dxa" w:w="47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Full layout. Right panel may compress.</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Desktop S</w:t>
            </w:r>
          </w:p>
        </w:tc>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1024px - 1279px</w:t>
            </w:r>
          </w:p>
        </w:tc>
        <w:tc>
          <w:tcPr>
            <w:tcW w:type="dxa" w:w="47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Sidebar collapses to icon-only 48px. Right panel below main.</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Tablet</w:t>
            </w:r>
          </w:p>
        </w:tc>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768px - 1023px</w:t>
            </w:r>
          </w:p>
        </w:tc>
        <w:tc>
          <w:tcPr>
            <w:tcW w:type="dxa" w:w="47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Sidebar behind hamburger. Single column. Condensed cards.</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Mobile</w:t>
            </w:r>
          </w:p>
        </w:tc>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&lt; 768px</w:t>
            </w:r>
          </w:p>
        </w:tc>
        <w:tc>
          <w:tcPr>
            <w:tcW w:type="dxa" w:w="47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Simplified mobile view. Today's tasks, overdue, messages.</w:t>
            </w:r>
          </w:p>
        </w:tc>
      </w:tr>
    </w:tbl>
    <w:p>
      <w:pPr>
        <w:spacing w:after="0" w:before="100"/>
      </w:pPr>
      <w:r>
        <w:t xml:space="preserve"/>
      </w:r>
    </w:p>
    <w:p>
      <w:r>
        <w:br w:type="page"/>
      </w:r>
    </w:p>
    <w:p>
      <w:pPr>
        <w:pStyle w:val="Heading1"/>
        <w:shd w:fill="0D2B55" w:val="clear"/>
        <w:spacing w:after="240" w:before="480"/>
        <w:ind w:left="240"/>
      </w:pPr>
      <w:r>
        <w:rPr>
          <w:rFonts w:ascii="Arial" w:cs="Arial" w:eastAsia="Arial" w:hAnsi="Arial"/>
          <w:b/>
          <w:bCs/>
          <w:color w:val="FFFFFF"/>
          <w:sz w:val="34"/>
          <w:szCs w:val="34"/>
        </w:rPr>
        <w:t xml:space="preserve">V.5  Core Component Library  (Unchanged from v1.0)</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V.5.1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rPr>
          <w:tblHeader/>
        </w:trPr>
        <w:tc>
          <w:tcPr>
            <w:tcW w:type="dxa" w:w="20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Variant</w:t>
            </w:r>
          </w:p>
        </w:tc>
        <w:tc>
          <w:tcPr>
            <w:tcW w:type="dxa" w:w="24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Background</w:t>
            </w:r>
          </w:p>
        </w:tc>
        <w:tc>
          <w:tcPr>
            <w:tcW w:type="dxa" w:w="22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Text</w:t>
            </w:r>
          </w:p>
        </w:tc>
        <w:tc>
          <w:tcPr>
            <w:tcW w:type="dxa" w:w="276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Use Case</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Primary</w:t>
            </w:r>
          </w:p>
        </w:tc>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--px-teal-500</w:t>
            </w:r>
          </w:p>
        </w:tc>
        <w:tc>
          <w:tcPr>
            <w:tcW w:type="dxa" w:w="2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--px-text-inverse</w:t>
            </w:r>
          </w:p>
        </w:tc>
        <w:tc>
          <w:tcPr>
            <w:tcW w:type="dxa" w:w="27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One most important action per view. One per screen maximum.</w:t>
            </w:r>
          </w:p>
        </w:tc>
      </w:tr>
      <w:tr>
        <w:tc>
          <w:tcPr>
            <w:tcW w:type="dxa" w:w="2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Secondary</w:t>
            </w:r>
          </w:p>
        </w:tc>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Transparent</w:t>
            </w:r>
          </w:p>
        </w:tc>
        <w:tc>
          <w:tcPr>
            <w:tcW w:type="dxa" w:w="2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--px-text-primary</w:t>
            </w:r>
          </w:p>
        </w:tc>
        <w:tc>
          <w:tcPr>
            <w:tcW w:type="dxa" w:w="27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Supporting actions alongside primary.</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Destructive</w:t>
            </w:r>
          </w:p>
        </w:tc>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Transparent</w:t>
            </w:r>
          </w:p>
        </w:tc>
        <w:tc>
          <w:tcPr>
            <w:tcW w:type="dxa" w:w="2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--px-red-500</w:t>
            </w:r>
          </w:p>
        </w:tc>
        <w:tc>
          <w:tcPr>
            <w:tcW w:type="dxa" w:w="27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Delete, remove, rollback. Requires confirmation dialog.</w:t>
            </w:r>
          </w:p>
        </w:tc>
      </w:tr>
      <w:tr>
        <w:tc>
          <w:tcPr>
            <w:tcW w:type="dxa" w:w="2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Ghost</w:t>
            </w:r>
          </w:p>
        </w:tc>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Transparent</w:t>
            </w:r>
          </w:p>
        </w:tc>
        <w:tc>
          <w:tcPr>
            <w:tcW w:type="dxa" w:w="2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--px-text-secondary</w:t>
            </w:r>
          </w:p>
        </w:tc>
        <w:tc>
          <w:tcPr>
            <w:tcW w:type="dxa" w:w="27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Low-priority actions in dense areas.</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Disabled</w:t>
            </w:r>
          </w:p>
        </w:tc>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--px-bg-elevated</w:t>
            </w:r>
          </w:p>
        </w:tc>
        <w:tc>
          <w:tcPr>
            <w:tcW w:type="dxa" w:w="2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--px-text-tertiary</w:t>
            </w:r>
          </w:p>
        </w:tc>
        <w:tc>
          <w:tcPr>
            <w:tcW w:type="dxa" w:w="27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Action not currently available.</w:t>
            </w:r>
          </w:p>
        </w:tc>
      </w:tr>
    </w:tbl>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V.5.2  Status Badges</w:t>
      </w:r>
    </w:p>
    <w:p>
      <w:pPr>
        <w:pStyle w:val="ListParagraph"/>
        <w:numPr>
          <w:ilvl w:val="0"/>
          <w:numId w:val="2"/>
        </w:numPr>
        <w:spacing w:after="50" w:before="50"/>
      </w:pPr>
      <w:r>
        <w:rPr>
          <w:rFonts w:ascii="Arial" w:cs="Arial" w:eastAsia="Arial" w:hAnsi="Arial"/>
          <w:b w:val="false"/>
          <w:bCs w:val="false"/>
          <w:color w:val="2E3A47"/>
          <w:sz w:val="20"/>
          <w:szCs w:val="20"/>
        </w:rPr>
        <w:t xml:space="preserve">20px tall, 4px border radius, 6px horizontal padding, 11px weight 500 text</w:t>
      </w:r>
    </w:p>
    <w:p>
      <w:pPr>
        <w:pStyle w:val="ListParagraph"/>
        <w:numPr>
          <w:ilvl w:val="0"/>
          <w:numId w:val="2"/>
        </w:numPr>
        <w:spacing w:after="50" w:before="50"/>
      </w:pPr>
      <w:r>
        <w:rPr>
          <w:rFonts w:ascii="Arial" w:cs="Arial" w:eastAsia="Arial" w:hAnsi="Arial"/>
          <w:b w:val="false"/>
          <w:bCs w:val="false"/>
          <w:color w:val="2E3A47"/>
          <w:sz w:val="20"/>
          <w:szCs w:val="20"/>
        </w:rPr>
        <w:t xml:space="preserve">Background: status color at 15% opacity. Text: status color at full opacity.</w:t>
      </w:r>
    </w:p>
    <w:p>
      <w:pPr>
        <w:pStyle w:val="ListParagraph"/>
        <w:numPr>
          <w:ilvl w:val="0"/>
          <w:numId w:val="2"/>
        </w:numPr>
        <w:spacing w:after="50" w:before="50"/>
      </w:pPr>
      <w:r>
        <w:rPr>
          <w:rFonts w:ascii="Arial" w:cs="Arial" w:eastAsia="Arial" w:hAnsi="Arial"/>
          <w:b w:val="false"/>
          <w:bCs w:val="false"/>
          <w:color w:val="2E3A47"/>
          <w:sz w:val="20"/>
          <w:szCs w:val="20"/>
        </w:rPr>
        <w:t xml:space="preserve">Never pure white text on a colored background in a badge.</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V.5.3  Progress Indicators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70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Spec</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Circular donut meter</w:t>
            </w:r>
          </w:p>
        </w:tc>
        <w:tc>
          <w:tcPr>
            <w:tcW w:type="dxa" w:w="7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68px diameter, 7px stroke. Track: --px-bg-elevated. Progress: status color. Label inside at 13px mono.</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Linear progress bar</w:t>
            </w:r>
          </w:p>
        </w:tc>
        <w:tc>
          <w:tcPr>
            <w:tcW w:type="dxa" w:w="7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5px height. Track: --px-bg-elevated. Fill: status color. No border radius on bar ends.</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Gantt bar</w:t>
            </w:r>
          </w:p>
        </w:tc>
        <w:tc>
          <w:tcPr>
            <w:tcW w:type="dxa" w:w="7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12px height standard zoom, 8px compact. Baseline bar in rgba(255,255,255,0.12) behind current bar.</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EVM gauge</w:t>
            </w:r>
          </w:p>
        </w:tc>
        <w:tc>
          <w:tcPr>
            <w:tcW w:type="dxa" w:w="7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Semi-circular. 1.0 = center. Below 1.0 = red. Above 1.0 = green.</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Burndown line</w:t>
            </w:r>
          </w:p>
        </w:tc>
        <w:tc>
          <w:tcPr>
            <w:tcW w:type="dxa" w:w="7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Ideal: --px-border-default dashed. Actual remaining: --px-teal-500 solid.</w:t>
            </w:r>
          </w:p>
        </w:tc>
      </w:tr>
    </w:tbl>
    <w:p>
      <w:pPr>
        <w:spacing w:after="0" w:before="100"/>
      </w:pPr>
      <w:r>
        <w:t xml:space="preserve"/>
      </w:r>
    </w:p>
    <w:p>
      <w:r>
        <w:br w:type="page"/>
      </w:r>
    </w:p>
    <w:p>
      <w:pPr>
        <w:pStyle w:val="Heading1"/>
        <w:shd w:fill="0D2B55" w:val="clear"/>
        <w:spacing w:after="240" w:before="480"/>
        <w:ind w:left="240"/>
      </w:pPr>
      <w:r>
        <w:rPr>
          <w:rFonts w:ascii="Arial" w:cs="Arial" w:eastAsia="Arial" w:hAnsi="Arial"/>
          <w:b/>
          <w:bCs/>
          <w:color w:val="FFFFFF"/>
          <w:sz w:val="34"/>
          <w:szCs w:val="34"/>
        </w:rPr>
        <w:t xml:space="preserve">V.6  Dark and Light Mode  (Unchanged from v1.0)</w:t>
      </w:r>
    </w:p>
    <w:p>
      <w:pPr>
        <w:spacing w:after="0" w:before="100"/>
      </w:pPr>
      <w:r>
        <w:t xml:space="preserve"/>
      </w:r>
    </w:p>
    <w:p>
      <w:pPr>
        <w:pStyle w:val="ListParagraph"/>
        <w:numPr>
          <w:ilvl w:val="0"/>
          <w:numId w:val="2"/>
        </w:numPr>
        <w:spacing w:after="50" w:before="50"/>
      </w:pPr>
      <w:r>
        <w:rPr>
          <w:rFonts w:ascii="Arial" w:cs="Arial" w:eastAsia="Arial" w:hAnsi="Arial"/>
          <w:b w:val="false"/>
          <w:bCs w:val="false"/>
          <w:color w:val="2E3A47"/>
          <w:sz w:val="20"/>
          <w:szCs w:val="20"/>
        </w:rPr>
        <w:t xml:space="preserve">Dark mode is default. Toggle is sun/moon icon in the top bar, always visible.</w:t>
      </w:r>
    </w:p>
    <w:p>
      <w:pPr>
        <w:pStyle w:val="ListParagraph"/>
        <w:numPr>
          <w:ilvl w:val="0"/>
          <w:numId w:val="2"/>
        </w:numPr>
        <w:spacing w:after="50" w:before="50"/>
      </w:pPr>
      <w:r>
        <w:rPr>
          <w:rFonts w:ascii="Arial" w:cs="Arial" w:eastAsia="Arial" w:hAnsi="Arial"/>
          <w:b w:val="false"/>
          <w:bCs w:val="false"/>
          <w:color w:val="2E3A47"/>
          <w:sz w:val="20"/>
          <w:szCs w:val="20"/>
        </w:rPr>
        <w:t xml:space="preserve">All color tokens defined as CSS custom properties. [data-theme='light'] override block for light mode.</w:t>
      </w:r>
    </w:p>
    <w:p>
      <w:pPr>
        <w:pStyle w:val="ListParagraph"/>
        <w:numPr>
          <w:ilvl w:val="0"/>
          <w:numId w:val="2"/>
        </w:numPr>
        <w:spacing w:after="50" w:before="50"/>
      </w:pPr>
      <w:r>
        <w:rPr>
          <w:rFonts w:ascii="Arial" w:cs="Arial" w:eastAsia="Arial" w:hAnsi="Arial"/>
          <w:b w:val="false"/>
          <w:bCs w:val="false"/>
          <w:color w:val="2E3A47"/>
          <w:sz w:val="20"/>
          <w:szCs w:val="20"/>
        </w:rPr>
        <w:t xml:space="preserve">Switching sets data-theme on the html element. No page reload. No flash.</w:t>
      </w:r>
    </w:p>
    <w:p>
      <w:pPr>
        <w:pStyle w:val="ListParagraph"/>
        <w:numPr>
          <w:ilvl w:val="0"/>
          <w:numId w:val="2"/>
        </w:numPr>
        <w:spacing w:after="50" w:before="50"/>
      </w:pPr>
      <w:r>
        <w:rPr>
          <w:rFonts w:ascii="Arial" w:cs="Arial" w:eastAsia="Arial" w:hAnsi="Arial"/>
          <w:b w:val="false"/>
          <w:bCs w:val="false"/>
          <w:color w:val="2E3A47"/>
          <w:sz w:val="20"/>
          <w:szCs w:val="20"/>
        </w:rPr>
        <w:t xml:space="preserve">System preference detected on first visit before a saved preference exists.</w:t>
      </w:r>
    </w:p>
    <w:p>
      <w:pPr>
        <w:pStyle w:val="ListParagraph"/>
        <w:numPr>
          <w:ilvl w:val="0"/>
          <w:numId w:val="2"/>
        </w:numPr>
        <w:spacing w:after="50" w:before="50"/>
      </w:pPr>
      <w:r>
        <w:rPr>
          <w:rFonts w:ascii="Arial" w:cs="Arial" w:eastAsia="Arial" w:hAnsi="Arial"/>
          <w:b w:val="false"/>
          <w:bCs w:val="false"/>
          <w:color w:val="2E3A47"/>
          <w:sz w:val="20"/>
          <w:szCs w:val="20"/>
        </w:rPr>
        <w:t xml:space="preserve">Chart.js: reads current theme attribute at render time, uses hardcoded hex from token map. Re-renders on theme change.</w:t>
      </w:r>
    </w:p>
    <w:p>
      <w:pPr>
        <w:pStyle w:val="ListParagraph"/>
        <w:numPr>
          <w:ilvl w:val="0"/>
          <w:numId w:val="2"/>
        </w:numPr>
        <w:spacing w:after="50" w:before="50"/>
      </w:pPr>
      <w:r>
        <w:rPr>
          <w:rFonts w:ascii="Arial" w:cs="Arial" w:eastAsia="Arial" w:hAnsi="Arial"/>
          <w:b w:val="false"/>
          <w:bCs w:val="false"/>
          <w:color w:val="2E3A47"/>
          <w:sz w:val="20"/>
          <w:szCs w:val="20"/>
        </w:rPr>
        <w:t xml:space="preserve">Mapbox: switches between dark and light basemap on same theme change event.</w:t>
      </w:r>
    </w:p>
    <w:p>
      <w:pPr>
        <w:pStyle w:val="ListParagraph"/>
        <w:numPr>
          <w:ilvl w:val="0"/>
          <w:numId w:val="2"/>
        </w:numPr>
        <w:spacing w:after="50" w:before="50"/>
      </w:pPr>
      <w:r>
        <w:rPr>
          <w:rFonts w:ascii="Arial" w:cs="Arial" w:eastAsia="Arial" w:hAnsi="Arial"/>
          <w:b w:val="false"/>
          <w:bCs w:val="false"/>
          <w:color w:val="2E3A47"/>
          <w:sz w:val="20"/>
          <w:szCs w:val="20"/>
        </w:rPr>
        <w:t xml:space="preserve">Gantt library: configured with custom Planix theme. Built-in themes not loaded.</w:t>
      </w:r>
    </w:p>
    <w:p>
      <w:pPr>
        <w:pBdr>
          <w:left w:val="single" w:color="C62828" w:sz="10"/>
        </w:pBdr>
        <w:shd w:fill="FEEBEE" w:val="clear"/>
        <w:spacing w:after="160" w:before="160"/>
        <w:ind w:left="360" w:right="360"/>
      </w:pPr>
      <w:r>
        <w:rPr>
          <w:rFonts w:ascii="Arial" w:cs="Arial" w:eastAsia="Arial" w:hAnsi="Arial"/>
          <w:i/>
          <w:iCs/>
          <w:color w:val="0D2B55"/>
          <w:sz w:val="20"/>
          <w:szCs w:val="20"/>
        </w:rPr>
        <w:t xml:space="preserve">Never use CSS filters (invert, brightness) to fake dark mode. Every element must be explicitly designed for both modes.</w:t>
      </w:r>
    </w:p>
    <w:p>
      <w:pPr>
        <w:spacing w:after="0" w:before="100"/>
      </w:pPr>
      <w:r>
        <w:t xml:space="preserve"/>
      </w:r>
    </w:p>
    <w:p>
      <w:r>
        <w:br w:type="page"/>
      </w:r>
    </w:p>
    <w:p>
      <w:pPr>
        <w:pStyle w:val="Heading1"/>
        <w:shd w:fill="0D2B55" w:val="clear"/>
        <w:spacing w:after="240" w:before="480"/>
        <w:ind w:left="240"/>
      </w:pPr>
      <w:r>
        <w:rPr>
          <w:rFonts w:ascii="Arial" w:cs="Arial" w:eastAsia="Arial" w:hAnsi="Arial"/>
          <w:b/>
          <w:bCs/>
          <w:color w:val="FFFFFF"/>
          <w:sz w:val="34"/>
          <w:szCs w:val="34"/>
        </w:rPr>
        <w:t xml:space="preserve">V.7  Key Screen Specifications  (Unchanged from v1.0)</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V.7.1  Project Dashboard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Panel</w:t>
            </w:r>
          </w:p>
        </w:tc>
        <w:tc>
          <w:tcPr>
            <w:tcW w:type="dxa" w:w="16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Grid Width</w:t>
            </w:r>
          </w:p>
        </w:tc>
        <w:tc>
          <w:tcPr>
            <w:tcW w:type="dxa" w:w="536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Contents</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Status bar</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12-col</w:t>
            </w:r>
          </w:p>
        </w:tc>
        <w:tc>
          <w:tcPr>
            <w:tcW w:type="dxa" w:w="53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Project name, status badge, % complete, days remaining, PM, phase. Full width.</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Project overview card</w:t>
            </w:r>
          </w:p>
        </w:tc>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8-col</w:t>
            </w:r>
          </w:p>
        </w:tc>
        <w:tc>
          <w:tcPr>
            <w:tcW w:type="dxa" w:w="53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Circular donut (% complete), task count, budget burn, schedule variance. 4 metric cards in 2x2 grid.</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Timeline mini-Gantt</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8-col</w:t>
            </w:r>
          </w:p>
        </w:tc>
        <w:tc>
          <w:tcPr>
            <w:tcW w:type="dxa" w:w="53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Current month plus 30 days. Phase bars only. Baseline bars shown behind current bars.</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Active tasks panel</w:t>
            </w:r>
          </w:p>
        </w:tc>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8-col</w:t>
            </w:r>
          </w:p>
        </w:tc>
        <w:tc>
          <w:tcPr>
            <w:tcW w:type="dxa" w:w="53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Task name, assignee avatar, status badge, priority, due date. Max 8 rows then View All.</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Key metrics panel</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4-col</w:t>
            </w:r>
          </w:p>
        </w:tc>
        <w:tc>
          <w:tcPr>
            <w:tcW w:type="dxa" w:w="53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SPI, CPI, Open Risks, Open Issues, Open Blockers. Trend arrow per metric.</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Team activity feed</w:t>
            </w:r>
          </w:p>
        </w:tc>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4-col</w:t>
            </w:r>
          </w:p>
        </w:tc>
        <w:tc>
          <w:tcPr>
            <w:tcW w:type="dxa" w:w="53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Chronological: avatar + action + task name + timestamp. Max 10 items.</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Burndown chart</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4-col</w:t>
            </w:r>
          </w:p>
        </w:tc>
        <w:tc>
          <w:tcPr>
            <w:tcW w:type="dxa" w:w="53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Sprint projects only. Ideal dashed, actual teal solid. Sprint name above.</w:t>
            </w:r>
          </w:p>
        </w:tc>
      </w:tr>
    </w:tbl>
    <w:p>
      <w:pPr>
        <w:spacing w:after="0" w:before="100"/>
      </w:pPr>
      <w:r>
        <w:t xml:space="preserve"/>
      </w:r>
    </w:p>
    <w:p>
      <w:r>
        <w:br w:type="page"/>
      </w:r>
    </w:p>
    <w:p>
      <w:pPr>
        <w:pStyle w:val="Heading1"/>
        <w:shd w:fill="0D2B55" w:val="clear"/>
        <w:spacing w:after="240" w:before="480"/>
        <w:ind w:left="240"/>
      </w:pPr>
      <w:r>
        <w:rPr>
          <w:rFonts w:ascii="Arial" w:cs="Arial" w:eastAsia="Arial" w:hAnsi="Arial"/>
          <w:b/>
          <w:bCs/>
          <w:color w:val="FFFFFF"/>
          <w:sz w:val="34"/>
          <w:szCs w:val="34"/>
        </w:rPr>
        <w:t xml:space="preserve">V.8  Motion and Interaction  (Unchanged from v1.0)</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Interaction</w:t>
            </w:r>
          </w:p>
        </w:tc>
        <w:tc>
          <w:tcPr>
            <w:tcW w:type="dxa" w:w="18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Duration</w:t>
            </w:r>
          </w:p>
        </w:tc>
        <w:tc>
          <w:tcPr>
            <w:tcW w:type="dxa" w:w="516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Mode toggle</w:t>
            </w:r>
          </w:p>
        </w:tc>
        <w:tc>
          <w:tcPr>
            <w:tcW w:type="dxa" w:w="1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150ms ease</w:t>
            </w:r>
          </w:p>
        </w:tc>
        <w:tc>
          <w:tcPr>
            <w:tcW w:type="dxa" w:w="5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Color properties only. No layout shift.</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Card hover</w:t>
            </w:r>
          </w:p>
        </w:tc>
        <w:tc>
          <w:tcPr>
            <w:tcW w:type="dxa" w:w="1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100ms ease-out</w:t>
            </w:r>
          </w:p>
        </w:tc>
        <w:tc>
          <w:tcPr>
            <w:tcW w:type="dxa" w:w="5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Background color only.</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Dropdown open</w:t>
            </w:r>
          </w:p>
        </w:tc>
        <w:tc>
          <w:tcPr>
            <w:tcW w:type="dxa" w:w="1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150ms ease-out</w:t>
            </w:r>
          </w:p>
        </w:tc>
        <w:tc>
          <w:tcPr>
            <w:tcW w:type="dxa" w:w="5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Slides down 8px from trigger. Opacity 0 to 1.</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Modal open</w:t>
            </w:r>
          </w:p>
        </w:tc>
        <w:tc>
          <w:tcPr>
            <w:tcW w:type="dxa" w:w="1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200ms ease-out</w:t>
            </w:r>
          </w:p>
        </w:tc>
        <w:tc>
          <w:tcPr>
            <w:tcW w:type="dxa" w:w="5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Scale 95% to 100% + opacity.</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Toast notification</w:t>
            </w:r>
          </w:p>
        </w:tc>
        <w:tc>
          <w:tcPr>
            <w:tcW w:type="dxa" w:w="1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200ms in / 150ms out</w:t>
            </w:r>
          </w:p>
        </w:tc>
        <w:tc>
          <w:tcPr>
            <w:tcW w:type="dxa" w:w="5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Top-right. Stacks. Auto-dismisses after 5 seconds.</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Gantt drag</w:t>
            </w:r>
          </w:p>
        </w:tc>
        <w:tc>
          <w:tcPr>
            <w:tcW w:type="dxa" w:w="1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Real-time / 100ms on drop</w:t>
            </w:r>
          </w:p>
        </w:tc>
        <w:tc>
          <w:tcPr>
            <w:tcW w:type="dxa" w:w="5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Zero lag during drag. Snap on drop.</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Change Impact dialog</w:t>
            </w:r>
          </w:p>
        </w:tc>
        <w:tc>
          <w:tcPr>
            <w:tcW w:type="dxa" w:w="1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200ms ease-out</w:t>
            </w:r>
          </w:p>
        </w:tc>
        <w:tc>
          <w:tcPr>
            <w:tcW w:type="dxa" w:w="5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Impact list populates line by line as calculated.</w:t>
            </w:r>
          </w:p>
        </w:tc>
      </w:tr>
    </w:tbl>
    <w:p>
      <w:pPr>
        <w:pBdr>
          <w:left w:val="single" w:color="C62828" w:sz="10"/>
        </w:pBdr>
        <w:shd w:fill="FEEBEE" w:val="clear"/>
        <w:spacing w:after="160" w:before="160"/>
        <w:ind w:left="360" w:right="360"/>
      </w:pPr>
      <w:r>
        <w:rPr>
          <w:rFonts w:ascii="Arial" w:cs="Arial" w:eastAsia="Arial" w:hAnsi="Arial"/>
          <w:i/>
          <w:iCs/>
          <w:color w:val="0D2B55"/>
          <w:sz w:val="20"/>
          <w:szCs w:val="20"/>
        </w:rPr>
        <w:t xml:space="preserve">Respect prefers-reduced-motion. All transitions reduce to 0ms when system has reduced motion enabled.</w:t>
      </w:r>
    </w:p>
    <w:p>
      <w:pPr>
        <w:spacing w:after="0" w:before="100"/>
      </w:pPr>
      <w:r>
        <w:t xml:space="preserve"/>
      </w:r>
    </w:p>
    <w:p>
      <w:r>
        <w:br w:type="page"/>
      </w:r>
    </w:p>
    <w:p>
      <w:pPr>
        <w:pStyle w:val="Heading1"/>
        <w:shd w:fill="0D2B55" w:val="clear"/>
        <w:spacing w:after="240" w:before="480"/>
        <w:ind w:left="240"/>
      </w:pPr>
      <w:r>
        <w:rPr>
          <w:rFonts w:ascii="Arial" w:cs="Arial" w:eastAsia="Arial" w:hAnsi="Arial"/>
          <w:b/>
          <w:bCs/>
          <w:color w:val="FFFFFF"/>
          <w:sz w:val="34"/>
          <w:szCs w:val="34"/>
        </w:rPr>
        <w:t xml:space="preserve">V.9  Accessibility Requirements  (Unchanged from v1.0)</w:t>
      </w:r>
    </w:p>
    <w:p>
      <w:pPr>
        <w:spacing w:after="0" w:before="100"/>
      </w:pPr>
      <w:r>
        <w:t xml:space="preserve"/>
      </w:r>
    </w:p>
    <w:p>
      <w:pPr>
        <w:spacing w:after="60" w:before="60"/>
      </w:pPr>
      <w:r>
        <w:rPr>
          <w:rFonts w:ascii="Arial" w:cs="Arial" w:eastAsia="Arial" w:hAnsi="Arial"/>
          <w:color w:val="2E3A47"/>
          <w:sz w:val="20"/>
          <w:szCs w:val="20"/>
        </w:rPr>
        <w:t xml:space="preserve">WCAG 2.1 Level AA compliance is a build requirement, not a goal. Every PR touching the frontend must pass these checks before merge.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Requirement</w:t>
            </w:r>
          </w:p>
        </w:tc>
        <w:tc>
          <w:tcPr>
            <w:tcW w:type="dxa" w:w="18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Standard</w:t>
            </w:r>
          </w:p>
        </w:tc>
        <w:tc>
          <w:tcPr>
            <w:tcW w:type="dxa" w:w="516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Rule</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Normal text contrast</w:t>
            </w:r>
          </w:p>
        </w:tc>
        <w:tc>
          <w:tcPr>
            <w:tcW w:type="dxa" w:w="1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AA: 4.5:1</w:t>
            </w:r>
          </w:p>
        </w:tc>
        <w:tc>
          <w:tcPr>
            <w:tcW w:type="dxa" w:w="5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All body and label text on their backgrounds in both modes</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Large text contrast</w:t>
            </w:r>
          </w:p>
        </w:tc>
        <w:tc>
          <w:tcPr>
            <w:tcW w:type="dxa" w:w="1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AA: 3:1</w:t>
            </w:r>
          </w:p>
        </w:tc>
        <w:tc>
          <w:tcPr>
            <w:tcW w:type="dxa" w:w="5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Headings 18px+ and bold 14px+</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UI component contrast</w:t>
            </w:r>
          </w:p>
        </w:tc>
        <w:tc>
          <w:tcPr>
            <w:tcW w:type="dxa" w:w="1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AA: 3:1</w:t>
            </w:r>
          </w:p>
        </w:tc>
        <w:tc>
          <w:tcPr>
            <w:tcW w:type="dxa" w:w="5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Button borders, inputs, focus rings, badge borders</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Keyboard navigation</w:t>
            </w:r>
          </w:p>
        </w:tc>
        <w:tc>
          <w:tcPr>
            <w:tcW w:type="dxa" w:w="1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Full access</w:t>
            </w:r>
          </w:p>
        </w:tc>
        <w:tc>
          <w:tcPr>
            <w:tcW w:type="dxa" w:w="5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Every interactive element reachable by Tab. Logical focus order.</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Focus indicators</w:t>
            </w:r>
          </w:p>
        </w:tc>
        <w:tc>
          <w:tcPr>
            <w:tcW w:type="dxa" w:w="1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Always visible</w:t>
            </w:r>
          </w:p>
        </w:tc>
        <w:tc>
          <w:tcPr>
            <w:tcW w:type="dxa" w:w="5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2px solid --px-teal-500, 2px offset. Never outline: none without replacement.</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Screen reader support</w:t>
            </w:r>
          </w:p>
        </w:tc>
        <w:tc>
          <w:tcPr>
            <w:tcW w:type="dxa" w:w="1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Semantic HTML</w:t>
            </w:r>
          </w:p>
        </w:tc>
        <w:tc>
          <w:tcPr>
            <w:tcW w:type="dxa" w:w="5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Correct heading hierarchy. ARIA labels on icon-only buttons.</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Status not color-only</w:t>
            </w:r>
          </w:p>
        </w:tc>
        <w:tc>
          <w:tcPr>
            <w:tcW w:type="dxa" w:w="1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WCAG 1.4.1</w:t>
            </w:r>
          </w:p>
        </w:tc>
        <w:tc>
          <w:tcPr>
            <w:tcW w:type="dxa" w:w="5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Every status uses color PLUS a label or icon.</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Text resize</w:t>
            </w:r>
          </w:p>
        </w:tc>
        <w:tc>
          <w:tcPr>
            <w:tcW w:type="dxa" w:w="1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200%</w:t>
            </w:r>
          </w:p>
        </w:tc>
        <w:tc>
          <w:tcPr>
            <w:tcW w:type="dxa" w:w="5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No horizontal scrollbars at 1280px viewport when text doubled.</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Touch targets</w:t>
            </w:r>
          </w:p>
        </w:tc>
        <w:tc>
          <w:tcPr>
            <w:tcW w:type="dxa" w:w="1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44x44px min</w:t>
            </w:r>
          </w:p>
        </w:tc>
        <w:tc>
          <w:tcPr>
            <w:tcW w:type="dxa" w:w="5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All tappable elements. Critical for mobile view.</w:t>
            </w:r>
          </w:p>
        </w:tc>
      </w:tr>
    </w:tbl>
    <w:p>
      <w:pPr>
        <w:spacing w:after="0" w:before="100"/>
      </w:pPr>
      <w:r>
        <w:t xml:space="preserve"/>
      </w:r>
    </w:p>
    <w:p>
      <w:r>
        <w:br w:type="page"/>
      </w:r>
    </w:p>
    <w:p>
      <w:pPr>
        <w:pStyle w:val="Heading1"/>
        <w:shd w:fill="0D2B55" w:val="clear"/>
        <w:spacing w:after="240" w:before="480"/>
        <w:ind w:left="240"/>
      </w:pPr>
      <w:r>
        <w:rPr>
          <w:rFonts w:ascii="Arial" w:cs="Arial" w:eastAsia="Arial" w:hAnsi="Arial"/>
          <w:b/>
          <w:bCs/>
          <w:color w:val="FFFFFF"/>
          <w:sz w:val="34"/>
          <w:szCs w:val="34"/>
        </w:rPr>
        <w:t xml:space="preserve">V.10  Implementation Notes  (Unchanged from v1.0)</w:t>
      </w:r>
    </w:p>
    <w:p>
      <w:pPr>
        <w:spacing w:after="0" w:before="100"/>
      </w:pPr>
      <w:r>
        <w:t xml:space="preserve"/>
      </w:r>
    </w:p>
    <w:p>
      <w:pPr>
        <w:pStyle w:val="ListParagraph"/>
        <w:numPr>
          <w:ilvl w:val="0"/>
          <w:numId w:val="2"/>
        </w:numPr>
        <w:spacing w:after="50" w:before="50"/>
      </w:pPr>
      <w:r>
        <w:rPr>
          <w:rFonts w:ascii="Arial" w:cs="Arial" w:eastAsia="Arial" w:hAnsi="Arial"/>
          <w:b w:val="false"/>
          <w:bCs w:val="false"/>
          <w:color w:val="2E3A47"/>
          <w:sz w:val="20"/>
          <w:szCs w:val="20"/>
        </w:rPr>
        <w:t xml:space="preserve">CSS custom properties for all tokens in a single global tokens.css file</w:t>
      </w:r>
    </w:p>
    <w:p>
      <w:pPr>
        <w:pStyle w:val="ListParagraph"/>
        <w:numPr>
          <w:ilvl w:val="0"/>
          <w:numId w:val="2"/>
        </w:numPr>
        <w:spacing w:after="50" w:before="50"/>
      </w:pPr>
      <w:r>
        <w:rPr>
          <w:rFonts w:ascii="Arial" w:cs="Arial" w:eastAsia="Arial" w:hAnsi="Arial"/>
          <w:b w:val="false"/>
          <w:bCs w:val="false"/>
          <w:color w:val="2E3A47"/>
          <w:sz w:val="20"/>
          <w:szCs w:val="20"/>
        </w:rPr>
        <w:t xml:space="preserve">Light mode overrides in a [data-theme='light'] block in the same file</w:t>
      </w:r>
    </w:p>
    <w:p>
      <w:pPr>
        <w:pStyle w:val="ListParagraph"/>
        <w:numPr>
          <w:ilvl w:val="0"/>
          <w:numId w:val="2"/>
        </w:numPr>
        <w:spacing w:after="50" w:before="50"/>
      </w:pPr>
      <w:r>
        <w:rPr>
          <w:rFonts w:ascii="Arial" w:cs="Arial" w:eastAsia="Arial" w:hAnsi="Arial"/>
          <w:b w:val="false"/>
          <w:bCs w:val="false"/>
          <w:color w:val="2E3A47"/>
          <w:sz w:val="20"/>
          <w:szCs w:val="20"/>
        </w:rPr>
        <w:t xml:space="preserve">Component styles scoped using CSS Modules. No global class name conflicts.</w:t>
      </w:r>
    </w:p>
    <w:p>
      <w:pPr>
        <w:pStyle w:val="ListParagraph"/>
        <w:numPr>
          <w:ilvl w:val="0"/>
          <w:numId w:val="2"/>
        </w:numPr>
        <w:spacing w:after="50" w:before="50"/>
      </w:pPr>
      <w:r>
        <w:rPr>
          <w:rFonts w:ascii="Arial" w:cs="Arial" w:eastAsia="Arial" w:hAnsi="Arial"/>
          <w:b w:val="false"/>
          <w:bCs w:val="false"/>
          <w:color w:val="2E3A47"/>
          <w:sz w:val="20"/>
          <w:szCs w:val="20"/>
        </w:rPr>
        <w:t xml:space="preserve">No inline styles except for dynamic values calculated in JS</w:t>
      </w:r>
    </w:p>
    <w:p>
      <w:pPr>
        <w:pStyle w:val="ListParagraph"/>
        <w:numPr>
          <w:ilvl w:val="0"/>
          <w:numId w:val="2"/>
        </w:numPr>
        <w:spacing w:after="50" w:before="50"/>
      </w:pPr>
      <w:r>
        <w:rPr>
          <w:rFonts w:ascii="Arial" w:cs="Arial" w:eastAsia="Arial" w:hAnsi="Arial"/>
          <w:b w:val="false"/>
          <w:bCs w:val="false"/>
          <w:color w:val="2E3A47"/>
          <w:sz w:val="20"/>
          <w:szCs w:val="20"/>
        </w:rPr>
        <w:t xml:space="preserve">Every component tested in both modes and keyboard-navigable before considered done</w:t>
      </w:r>
    </w:p>
    <w:p>
      <w:pPr>
        <w:pStyle w:val="ListParagraph"/>
        <w:numPr>
          <w:ilvl w:val="0"/>
          <w:numId w:val="2"/>
        </w:numPr>
        <w:spacing w:after="50" w:before="50"/>
      </w:pPr>
      <w:r>
        <w:rPr>
          <w:rFonts w:ascii="Arial" w:cs="Arial" w:eastAsia="Arial" w:hAnsi="Arial"/>
          <w:b w:val="false"/>
          <w:bCs w:val="false"/>
          <w:color w:val="2E3A47"/>
          <w:sz w:val="20"/>
          <w:szCs w:val="20"/>
        </w:rPr>
        <w:t xml:space="preserve">New components added to component library browser before use in the app</w:t>
      </w:r>
    </w:p>
    <w:p>
      <w:pPr>
        <w:pStyle w:val="ListParagraph"/>
        <w:numPr>
          <w:ilvl w:val="0"/>
          <w:numId w:val="2"/>
        </w:numPr>
        <w:spacing w:after="50" w:before="50"/>
      </w:pPr>
      <w:r>
        <w:rPr>
          <w:rFonts w:ascii="Arial" w:cs="Arial" w:eastAsia="Arial" w:hAnsi="Arial"/>
          <w:b w:val="false"/>
          <w:bCs w:val="false"/>
          <w:color w:val="2E3A47"/>
          <w:sz w:val="20"/>
          <w:szCs w:val="20"/>
        </w:rPr>
        <w:t xml:space="preserve">Sidebar right border: 1px solid var(--px-border-subtle). This is the sole visual separator between sidebar and content.</w:t>
      </w:r>
    </w:p>
    <w:p>
      <w:pPr>
        <w:spacing w:after="0" w:before="100"/>
      </w:pPr>
      <w:r>
        <w:t xml:space="preserve"/>
      </w:r>
    </w:p>
    <w:p>
      <w:r>
        <w:br w:type="page"/>
      </w:r>
    </w:p>
    <w:p>
      <w:pPr>
        <w:pStyle w:val="Heading1"/>
        <w:shd w:fill="0D2B55" w:val="clear"/>
        <w:spacing w:after="240" w:before="480"/>
        <w:ind w:left="240"/>
      </w:pPr>
      <w:r>
        <w:rPr>
          <w:rFonts w:ascii="Arial" w:cs="Arial" w:eastAsia="Arial" w:hAnsi="Arial"/>
          <w:b/>
          <w:bCs/>
          <w:color w:val="FFFFFF"/>
          <w:sz w:val="34"/>
          <w:szCs w:val="34"/>
        </w:rPr>
        <w:t xml:space="preserve">V.11  Design Review and Change Process  (Unchanged from v1.0)</w:t>
      </w:r>
    </w:p>
    <w:p>
      <w:pPr>
        <w:spacing w:after="0" w:before="100"/>
      </w:pPr>
      <w:r>
        <w:t xml:space="preserve"/>
      </w:r>
    </w:p>
    <w:p>
      <w:pPr>
        <w:pStyle w:val="ListParagraph"/>
        <w:numPr>
          <w:ilvl w:val="0"/>
          <w:numId w:val="3"/>
        </w:numPr>
        <w:spacing w:after="50" w:before="50"/>
      </w:pPr>
      <w:r>
        <w:rPr>
          <w:rFonts w:ascii="Arial" w:cs="Arial" w:eastAsia="Arial" w:hAnsi="Arial"/>
          <w:color w:val="2E3A47"/>
          <w:sz w:val="20"/>
          <w:szCs w:val="20"/>
        </w:rPr>
        <w:t xml:space="preserve">Any team member proposes a change via a Design System PR</w:t>
      </w:r>
    </w:p>
    <w:p>
      <w:pPr>
        <w:pStyle w:val="ListParagraph"/>
        <w:numPr>
          <w:ilvl w:val="0"/>
          <w:numId w:val="3"/>
        </w:numPr>
        <w:spacing w:after="50" w:before="50"/>
      </w:pPr>
      <w:r>
        <w:rPr>
          <w:rFonts w:ascii="Arial" w:cs="Arial" w:eastAsia="Arial" w:hAnsi="Arial"/>
          <w:color w:val="2E3A47"/>
          <w:sz w:val="20"/>
          <w:szCs w:val="20"/>
        </w:rPr>
        <w:t xml:space="preserve">PR includes: proposed change, rationale, where it applies, before/after mockups</w:t>
      </w:r>
    </w:p>
    <w:p>
      <w:pPr>
        <w:pStyle w:val="ListParagraph"/>
        <w:numPr>
          <w:ilvl w:val="0"/>
          <w:numId w:val="3"/>
        </w:numPr>
        <w:spacing w:after="50" w:before="50"/>
      </w:pPr>
      <w:r>
        <w:rPr>
          <w:rFonts w:ascii="Arial" w:cs="Arial" w:eastAsia="Arial" w:hAnsi="Arial"/>
          <w:color w:val="2E3A47"/>
          <w:sz w:val="20"/>
          <w:szCs w:val="20"/>
        </w:rPr>
        <w:t xml:space="preserve">VP of Technology Services reviews and approves or rejects</w:t>
      </w:r>
    </w:p>
    <w:p>
      <w:pPr>
        <w:pStyle w:val="ListParagraph"/>
        <w:numPr>
          <w:ilvl w:val="0"/>
          <w:numId w:val="3"/>
        </w:numPr>
        <w:spacing w:after="50" w:before="50"/>
      </w:pPr>
      <w:r>
        <w:rPr>
          <w:rFonts w:ascii="Arial" w:cs="Arial" w:eastAsia="Arial" w:hAnsi="Arial"/>
          <w:color w:val="2E3A47"/>
          <w:sz w:val="20"/>
          <w:szCs w:val="20"/>
        </w:rPr>
        <w:t xml:space="preserve">Approved changes merged and versioned. Changelog updated.</w:t>
      </w:r>
    </w:p>
    <w:p>
      <w:pPr>
        <w:pBdr>
          <w:left w:val="single" w:color="C62828" w:sz="10"/>
        </w:pBdr>
        <w:shd w:fill="FEEBEE" w:val="clear"/>
        <w:spacing w:after="160" w:before="160"/>
        <w:ind w:left="360" w:right="360"/>
      </w:pPr>
      <w:r>
        <w:rPr>
          <w:rFonts w:ascii="Arial" w:cs="Arial" w:eastAsia="Arial" w:hAnsi="Arial"/>
          <w:i/>
          <w:iCs/>
          <w:color w:val="0D2B55"/>
          <w:sz w:val="20"/>
          <w:szCs w:val="20"/>
        </w:rPr>
        <w:t xml:space="preserve">No developer ships a UI pattern not in this document without going through the review process. Visual consistency is a product quality issue.</w:t>
      </w:r>
    </w:p>
    <w:p>
      <w:pPr>
        <w:spacing w:after="0" w:before="100"/>
      </w:pPr>
      <w:r>
        <w:t xml:space="preserve"/>
      </w:r>
    </w:p>
    <w:p>
      <w:r>
        <w:br w:type="page"/>
      </w:r>
    </w:p>
    <w:p>
      <w:pPr>
        <w:pStyle w:val="Heading1"/>
        <w:shd w:fill="0D2B55" w:val="clear"/>
        <w:spacing w:after="240" w:before="480"/>
        <w:ind w:left="240"/>
      </w:pPr>
      <w:r>
        <w:rPr>
          <w:rFonts w:ascii="Arial" w:cs="Arial" w:eastAsia="Arial" w:hAnsi="Arial"/>
          <w:b/>
          <w:bCs/>
          <w:color w:val="FFFFFF"/>
          <w:sz w:val="34"/>
          <w:szCs w:val="34"/>
        </w:rPr>
        <w:t xml:space="preserve">V.12  White-Label Reporting and Customer Portal Branding  (New in v1.1)</w:t>
      </w:r>
    </w:p>
    <w:p>
      <w:pPr>
        <w:spacing w:after="0" w:before="100"/>
      </w:pPr>
      <w:r>
        <w:t xml:space="preserve"/>
      </w:r>
    </w:p>
    <w:p>
      <w:pPr>
        <w:spacing w:after="60" w:before="60"/>
      </w:pPr>
      <w:r>
        <w:rPr>
          <w:rFonts w:ascii="Arial" w:cs="Arial" w:eastAsia="Arial" w:hAnsi="Arial"/>
          <w:color w:val="2E3A47"/>
          <w:sz w:val="20"/>
          <w:szCs w:val="20"/>
        </w:rPr>
        <w:t xml:space="preserve">CHR delivers project work to external customers across all three business units. When a customer receives a report or logs into their project portal, they should see CHR's relationship with them, not Planix as a product. Planix is invisible to customers by design.</w:t>
      </w:r>
    </w:p>
    <w:p>
      <w:pPr>
        <w:spacing w:after="0" w:before="100"/>
      </w:pPr>
      <w:r>
        <w:t xml:space="preserve"/>
      </w:r>
    </w:p>
    <w:p>
      <w:pPr>
        <w:pBdr>
          <w:left w:val="single" w:color="00ACC1" w:sz="10"/>
        </w:pBdr>
        <w:shd w:fill="EFF6FB" w:val="clear"/>
        <w:spacing w:after="160" w:before="160"/>
        <w:ind w:left="360" w:right="360"/>
      </w:pPr>
      <w:r>
        <w:rPr>
          <w:rFonts w:ascii="Arial" w:cs="Arial" w:eastAsia="Arial" w:hAnsi="Arial"/>
          <w:i/>
          <w:iCs/>
          <w:color w:val="0D2B55"/>
          <w:sz w:val="20"/>
          <w:szCs w:val="20"/>
        </w:rPr>
        <w:t xml:space="preserve">The goal: a customer receiving a status report or logging into their project portal should have no awareness that Planix exists. They see CHR Solutions delivering professional project communication, branded consistently with the relationship they have paid for.</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V.12.1  White-Label Profile per Customer</w:t>
      </w:r>
    </w:p>
    <w:p>
      <w:pPr>
        <w:spacing w:after="60" w:before="60"/>
      </w:pPr>
      <w:r>
        <w:rPr>
          <w:rFonts w:ascii="Arial" w:cs="Arial" w:eastAsia="Arial" w:hAnsi="Arial"/>
          <w:color w:val="2E3A47"/>
          <w:sz w:val="20"/>
          <w:szCs w:val="20"/>
        </w:rPr>
        <w:t xml:space="preserve">Each customer record in Planix stores a white-label profile. It is set once and applies to all customer-facing output automatically.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600"/>
        <w:gridCol w:w="2560"/>
      </w:tblGrid>
      <w:tr>
        <w:trPr>
          <w:tblHeader/>
        </w:trPr>
        <w:tc>
          <w:tcPr>
            <w:tcW w:type="dxa" w:w="24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28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Format</w:t>
            </w:r>
          </w:p>
        </w:tc>
        <w:tc>
          <w:tcPr>
            <w:tcW w:type="dxa" w:w="16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Required</w:t>
            </w:r>
          </w:p>
        </w:tc>
        <w:tc>
          <w:tcPr>
            <w:tcW w:type="dxa" w:w="256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Applied To</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Customer display name</w:t>
            </w:r>
          </w:p>
        </w:tc>
        <w:tc>
          <w:tcPr>
            <w:tcW w:type="dxa" w:w="2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Plain text, max 80 characters</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Yes</w:t>
            </w:r>
          </w:p>
        </w:tc>
        <w:tc>
          <w:tcPr>
            <w:tcW w:type="dxa" w:w="25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Report headers, portal page title, browser tab, email subject lines</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Customer logo</w:t>
            </w:r>
          </w:p>
        </w:tc>
        <w:tc>
          <w:tcPr>
            <w:tcW w:type="dxa" w:w="2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PNG or SVG, max 2 MB, min 200px wide</w:t>
            </w:r>
          </w:p>
        </w:tc>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Recommended</w:t>
            </w:r>
          </w:p>
        </w:tc>
        <w:tc>
          <w:tcPr>
            <w:tcW w:type="dxa" w:w="25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Report header top-left, customer portal header, report email header</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Brand accent color</w:t>
            </w:r>
          </w:p>
        </w:tc>
        <w:tc>
          <w:tcPr>
            <w:tcW w:type="dxa" w:w="2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Hex value (e.g. #1A5276)</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Optional</w:t>
            </w:r>
          </w:p>
        </w:tc>
        <w:tc>
          <w:tcPr>
            <w:tcW w:type="dxa" w:w="25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Report section header background, progress bars in the report, table header row. Falls back to CHR teal if not set.</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Report footer text</w:t>
            </w:r>
          </w:p>
        </w:tc>
        <w:tc>
          <w:tcPr>
            <w:tcW w:type="dxa" w:w="2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Plain text, max 200 characters</w:t>
            </w:r>
          </w:p>
        </w:tc>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Optional</w:t>
            </w:r>
          </w:p>
        </w:tc>
        <w:tc>
          <w:tcPr>
            <w:tcW w:type="dxa" w:w="25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Bottom of every report page. Default: 'Prepared by CHR Solutions for [Customer Name]'</w:t>
            </w:r>
          </w:p>
        </w:tc>
      </w:tr>
      <w:tr>
        <w:tc>
          <w:tcPr>
            <w:tcW w:type="dxa" w:w="2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Portal subdomain label</w:t>
            </w:r>
          </w:p>
        </w:tc>
        <w:tc>
          <w:tcPr>
            <w:tcW w:type="dxa" w:w="2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Plain text, max 40 characters</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Optional</w:t>
            </w:r>
          </w:p>
        </w:tc>
        <w:tc>
          <w:tcPr>
            <w:tcW w:type="dxa" w:w="25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Browser tab and portal page title. Default: '[Customer Name] Project Portal'</w:t>
            </w:r>
          </w:p>
        </w:tc>
      </w:tr>
      <w:tr>
        <w:tc>
          <w:tcPr>
            <w:tcW w:type="dxa" w:w="2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Report filename prefix</w:t>
            </w:r>
          </w:p>
        </w:tc>
        <w:tc>
          <w:tcPr>
            <w:tcW w:type="dxa" w:w="2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Plain text, max 30 characters, no spaces</w:t>
            </w:r>
          </w:p>
        </w:tc>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Optional</w:t>
            </w:r>
          </w:p>
        </w:tc>
        <w:tc>
          <w:tcPr>
            <w:tcW w:type="dxa" w:w="25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PDF filename prefix. Default: CustomerName. Result: CustomerName_StatusReport_20260630.pdf</w:t>
            </w:r>
          </w:p>
        </w:tc>
      </w:tr>
    </w:tbl>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V.12.2  What Gets White-Labeled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Output</w:t>
            </w:r>
          </w:p>
        </w:tc>
        <w:tc>
          <w:tcPr>
            <w:tcW w:type="dxa" w:w="32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What Changes</w:t>
            </w:r>
          </w:p>
        </w:tc>
        <w:tc>
          <w:tcPr>
            <w:tcW w:type="dxa" w:w="356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What Stays CHR-Branded</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PDF Status Report</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Customer logo top-left, customer name in header, brand accent color on headers and bars, customized footer text</w:t>
            </w:r>
          </w:p>
        </w:tc>
        <w:tc>
          <w:tcPr>
            <w:tcW w:type="dxa" w:w="35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'Prepared by CHR Solutions for [Name]' footer line. CHR contact info if included.</w:t>
            </w:r>
          </w:p>
        </w:tc>
      </w:tr>
      <w:tr>
        <w:tc>
          <w:tcPr>
            <w:tcW w:type="dxa" w:w="2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PDF Milestone Report</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Same as status report</w:t>
            </w:r>
          </w:p>
        </w:tc>
        <w:tc>
          <w:tcPr>
            <w:tcW w:type="dxa" w:w="35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Same as status report</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PDF Change Impact Summary</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Customer logo and name in header</w:t>
            </w:r>
          </w:p>
        </w:tc>
        <w:tc>
          <w:tcPr>
            <w:tcW w:type="dxa" w:w="35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Same footer</w:t>
            </w:r>
          </w:p>
        </w:tc>
      </w:tr>
      <w:tr>
        <w:tc>
          <w:tcPr>
            <w:tcW w:type="dxa" w:w="2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PDF Baseline Variance Report</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Customer logo and name in header</w:t>
            </w:r>
          </w:p>
        </w:tc>
        <w:tc>
          <w:tcPr>
            <w:tcW w:type="dxa" w:w="35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Same footer</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PDF Project Closure Report</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Customer logo and name in header</w:t>
            </w:r>
          </w:p>
        </w:tc>
        <w:tc>
          <w:tcPr>
            <w:tcW w:type="dxa" w:w="35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Same footer</w:t>
            </w:r>
          </w:p>
        </w:tc>
      </w:tr>
      <w:tr>
        <w:tc>
          <w:tcPr>
            <w:tcW w:type="dxa" w:w="2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Customer Portal</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Customer logo in portal header, customer name as page title, portal accent color from brand color if set</w:t>
            </w:r>
          </w:p>
        </w:tc>
        <w:tc>
          <w:tcPr>
            <w:tcW w:type="dxa" w:w="35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'Powered by CHR Solutions' in portal footer (small, non-prominent). Planix name never appears.</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Portal Notification Emails</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Customer name in subject line, customer logo in email header</w:t>
            </w:r>
          </w:p>
        </w:tc>
        <w:tc>
          <w:tcPr>
            <w:tcW w:type="dxa" w:w="35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CHR Solutions in sender name: 'CHR Solutions Project Updates &lt;noreply@chrsolutions.com&gt;'</w:t>
            </w:r>
          </w:p>
        </w:tc>
      </w:tr>
      <w:tr>
        <w:tc>
          <w:tcPr>
            <w:tcW w:type="dxa" w:w="2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Stakeholder Share Link</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Customer name in page title if brand profile exists</w:t>
            </w:r>
          </w:p>
        </w:tc>
        <w:tc>
          <w:tcPr>
            <w:tcW w:type="dxa" w:w="35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'Shared by CHR Solutions' in page footer</w:t>
            </w:r>
          </w:p>
        </w:tc>
      </w:tr>
    </w:tbl>
    <w:p>
      <w:pPr>
        <w:spacing w:after="0" w:before="100"/>
      </w:pPr>
      <w:r>
        <w:t xml:space="preserve"/>
      </w:r>
    </w:p>
    <w:p>
      <w:pPr>
        <w:pBdr>
          <w:left w:val="single" w:color="C62828" w:sz="10"/>
        </w:pBdr>
        <w:shd w:fill="FEEBEE" w:val="clear"/>
        <w:spacing w:after="160" w:before="160"/>
        <w:ind w:left="360" w:right="360"/>
      </w:pPr>
      <w:r>
        <w:rPr>
          <w:rFonts w:ascii="Arial" w:cs="Arial" w:eastAsia="Arial" w:hAnsi="Arial"/>
          <w:i/>
          <w:iCs/>
          <w:color w:val="0D2B55"/>
          <w:sz w:val="20"/>
          <w:szCs w:val="20"/>
        </w:rPr>
        <w:t xml:space="preserve">The Planix product name must never appear in any customer-facing output. Not in headers, footers, email bodies, PDF metadata, or browser tab titles. Search for 'Planix' in all customer-facing templates before shipping the report engine.</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V.12.3  What Does Not Get White-Labeled</w:t>
      </w:r>
    </w:p>
    <w:p>
      <w:pPr>
        <w:pStyle w:val="ListParagraph"/>
        <w:numPr>
          <w:ilvl w:val="0"/>
          <w:numId w:val="2"/>
        </w:numPr>
        <w:spacing w:after="50" w:before="50"/>
      </w:pPr>
      <w:r>
        <w:rPr>
          <w:rFonts w:ascii="Arial" w:cs="Arial" w:eastAsia="Arial" w:hAnsi="Arial"/>
          <w:b w:val="false"/>
          <w:bCs w:val="false"/>
          <w:color w:val="2E3A47"/>
          <w:sz w:val="20"/>
          <w:szCs w:val="20"/>
        </w:rPr>
        <w:t xml:space="preserve">The internal Planix interface used by CHR staff. White-labeling is customer-facing output only.</w:t>
      </w:r>
    </w:p>
    <w:p>
      <w:pPr>
        <w:pStyle w:val="ListParagraph"/>
        <w:numPr>
          <w:ilvl w:val="0"/>
          <w:numId w:val="2"/>
        </w:numPr>
        <w:spacing w:after="50" w:before="50"/>
      </w:pPr>
      <w:r>
        <w:rPr>
          <w:rFonts w:ascii="Arial" w:cs="Arial" w:eastAsia="Arial" w:hAnsi="Arial"/>
          <w:b w:val="false"/>
          <w:bCs w:val="false"/>
          <w:color w:val="2E3A47"/>
          <w:sz w:val="20"/>
          <w:szCs w:val="20"/>
        </w:rPr>
        <w:t xml:space="preserve">Internal reports generated for CHR leadership or Department Heads. Those are Planix-branded.</w:t>
      </w:r>
    </w:p>
    <w:p>
      <w:pPr>
        <w:pStyle w:val="ListParagraph"/>
        <w:numPr>
          <w:ilvl w:val="0"/>
          <w:numId w:val="2"/>
        </w:numPr>
        <w:spacing w:after="50" w:before="50"/>
      </w:pPr>
      <w:r>
        <w:rPr>
          <w:rFonts w:ascii="Arial" w:cs="Arial" w:eastAsia="Arial" w:hAnsi="Arial"/>
          <w:b w:val="false"/>
          <w:bCs w:val="false"/>
          <w:color w:val="2E3A47"/>
          <w:sz w:val="20"/>
          <w:szCs w:val="20"/>
        </w:rPr>
        <w:t xml:space="preserve">System notifications sent to CHR team members (task reminders, Teams DMs, overdue alerts).</w:t>
      </w:r>
    </w:p>
    <w:p>
      <w:pPr>
        <w:pStyle w:val="ListParagraph"/>
        <w:numPr>
          <w:ilvl w:val="0"/>
          <w:numId w:val="2"/>
        </w:numPr>
        <w:spacing w:after="50" w:before="50"/>
      </w:pPr>
      <w:r>
        <w:rPr>
          <w:rFonts w:ascii="Arial" w:cs="Arial" w:eastAsia="Arial" w:hAnsi="Arial"/>
          <w:b w:val="false"/>
          <w:bCs w:val="false"/>
          <w:color w:val="2E3A47"/>
          <w:sz w:val="20"/>
          <w:szCs w:val="20"/>
        </w:rPr>
        <w:t xml:space="preserve">The admin and system settings screens. Always Planix-branded internally.</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V.12.4  Logo Handling Rules</w:t>
      </w:r>
    </w:p>
    <w:p>
      <w:pPr>
        <w:pStyle w:val="ListParagraph"/>
        <w:numPr>
          <w:ilvl w:val="0"/>
          <w:numId w:val="2"/>
        </w:numPr>
        <w:spacing w:after="50" w:before="50"/>
      </w:pPr>
      <w:r>
        <w:rPr>
          <w:rFonts w:ascii="Arial" w:cs="Arial" w:eastAsia="Arial" w:hAnsi="Arial"/>
          <w:b w:val="false"/>
          <w:bCs w:val="false"/>
          <w:color w:val="2E3A47"/>
          <w:sz w:val="20"/>
          <w:szCs w:val="20"/>
        </w:rPr>
        <w:t xml:space="preserve">Accepted formats: PNG (with transparent background preferred) and SVG</w:t>
      </w:r>
    </w:p>
    <w:p>
      <w:pPr>
        <w:pStyle w:val="ListParagraph"/>
        <w:numPr>
          <w:ilvl w:val="0"/>
          <w:numId w:val="2"/>
        </w:numPr>
        <w:spacing w:after="50" w:before="50"/>
      </w:pPr>
      <w:r>
        <w:rPr>
          <w:rFonts w:ascii="Arial" w:cs="Arial" w:eastAsia="Arial" w:hAnsi="Arial"/>
          <w:b w:val="false"/>
          <w:bCs w:val="false"/>
          <w:color w:val="2E3A47"/>
          <w:sz w:val="20"/>
          <w:szCs w:val="20"/>
        </w:rPr>
        <w:t xml:space="preserve">Maximum file size: 2 MB</w:t>
      </w:r>
    </w:p>
    <w:p>
      <w:pPr>
        <w:pStyle w:val="ListParagraph"/>
        <w:numPr>
          <w:ilvl w:val="0"/>
          <w:numId w:val="2"/>
        </w:numPr>
        <w:spacing w:after="50" w:before="50"/>
      </w:pPr>
      <w:r>
        <w:rPr>
          <w:rFonts w:ascii="Arial" w:cs="Arial" w:eastAsia="Arial" w:hAnsi="Arial"/>
          <w:b w:val="false"/>
          <w:bCs w:val="false"/>
          <w:color w:val="2E3A47"/>
          <w:sz w:val="20"/>
          <w:szCs w:val="20"/>
        </w:rPr>
        <w:t xml:space="preserve">Minimum width: 200px. Planix scales the logo to fit the report header at a maximum height of 48px, maintaining aspect ratio.</w:t>
      </w:r>
    </w:p>
    <w:p>
      <w:pPr>
        <w:pStyle w:val="ListParagraph"/>
        <w:numPr>
          <w:ilvl w:val="0"/>
          <w:numId w:val="2"/>
        </w:numPr>
        <w:spacing w:after="50" w:before="50"/>
      </w:pPr>
      <w:r>
        <w:rPr>
          <w:rFonts w:ascii="Arial" w:cs="Arial" w:eastAsia="Arial" w:hAnsi="Arial"/>
          <w:b w:val="false"/>
          <w:bCs w:val="false"/>
          <w:color w:val="2E3A47"/>
          <w:sz w:val="20"/>
          <w:szCs w:val="20"/>
        </w:rPr>
        <w:t xml:space="preserve">If no logo is uploaded, the customer name renders as text in the header position using the brand accent color (or CHR teal if not set).</w:t>
      </w:r>
    </w:p>
    <w:p>
      <w:pPr>
        <w:pStyle w:val="ListParagraph"/>
        <w:numPr>
          <w:ilvl w:val="0"/>
          <w:numId w:val="2"/>
        </w:numPr>
        <w:spacing w:after="50" w:before="50"/>
      </w:pPr>
      <w:r>
        <w:rPr>
          <w:rFonts w:ascii="Arial" w:cs="Arial" w:eastAsia="Arial" w:hAnsi="Arial"/>
          <w:b w:val="false"/>
          <w:bCs w:val="false"/>
          <w:color w:val="2E3A47"/>
          <w:sz w:val="20"/>
          <w:szCs w:val="20"/>
        </w:rPr>
        <w:t xml:space="preserve">Logo is stored in the same object storage as project file attachments. It is associated with the customer record, not with individual projects.</w:t>
      </w:r>
    </w:p>
    <w:p>
      <w:pPr>
        <w:pStyle w:val="ListParagraph"/>
        <w:numPr>
          <w:ilvl w:val="0"/>
          <w:numId w:val="2"/>
        </w:numPr>
        <w:spacing w:after="50" w:before="50"/>
      </w:pPr>
      <w:r>
        <w:rPr>
          <w:rFonts w:ascii="Arial" w:cs="Arial" w:eastAsia="Arial" w:hAnsi="Arial"/>
          <w:b w:val="false"/>
          <w:bCs w:val="false"/>
          <w:color w:val="2E3A47"/>
          <w:sz w:val="20"/>
          <w:szCs w:val="20"/>
        </w:rPr>
        <w:t xml:space="preserve">Logo updates apply immediately to all future reports. Previously generated PDF files are not retroactively updated.</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V.12.5  Brand Accent Color Rules</w:t>
      </w:r>
    </w:p>
    <w:p>
      <w:pPr>
        <w:pStyle w:val="ListParagraph"/>
        <w:numPr>
          <w:ilvl w:val="0"/>
          <w:numId w:val="2"/>
        </w:numPr>
        <w:spacing w:after="50" w:before="50"/>
      </w:pPr>
      <w:r>
        <w:rPr>
          <w:rFonts w:ascii="Arial" w:cs="Arial" w:eastAsia="Arial" w:hAnsi="Arial"/>
          <w:b w:val="false"/>
          <w:bCs w:val="false"/>
          <w:color w:val="2E3A47"/>
          <w:sz w:val="20"/>
          <w:szCs w:val="20"/>
        </w:rPr>
        <w:t xml:space="preserve">The brand accent color is used on: report section header backgrounds, table header rows, progress bar fills in reports, and the customer portal header background.</w:t>
      </w:r>
    </w:p>
    <w:p>
      <w:pPr>
        <w:pStyle w:val="ListParagraph"/>
        <w:numPr>
          <w:ilvl w:val="0"/>
          <w:numId w:val="2"/>
        </w:numPr>
        <w:spacing w:after="50" w:before="50"/>
      </w:pPr>
      <w:r>
        <w:rPr>
          <w:rFonts w:ascii="Arial" w:cs="Arial" w:eastAsia="Arial" w:hAnsi="Arial"/>
          <w:b w:val="false"/>
          <w:bCs w:val="false"/>
          <w:color w:val="2E3A47"/>
          <w:sz w:val="20"/>
          <w:szCs w:val="20"/>
        </w:rPr>
        <w:t xml:space="preserve">The color must pass WCAG AA contrast against white text (4.5:1 ratio). If the PM enters a color that fails, Planix shows a warning and falls back to CHR teal.</w:t>
      </w:r>
    </w:p>
    <w:p>
      <w:pPr>
        <w:pStyle w:val="ListParagraph"/>
        <w:numPr>
          <w:ilvl w:val="0"/>
          <w:numId w:val="2"/>
        </w:numPr>
        <w:spacing w:after="50" w:before="50"/>
      </w:pPr>
      <w:r>
        <w:rPr>
          <w:rFonts w:ascii="Arial" w:cs="Arial" w:eastAsia="Arial" w:hAnsi="Arial"/>
          <w:b w:val="false"/>
          <w:bCs w:val="false"/>
          <w:color w:val="2E3A47"/>
          <w:sz w:val="20"/>
          <w:szCs w:val="20"/>
        </w:rPr>
        <w:t xml:space="preserve">The color is validated at entry time, not at report generation time, so PMs know immediately if there is a contrast issue.</w:t>
      </w:r>
    </w:p>
    <w:p>
      <w:pPr>
        <w:pStyle w:val="ListParagraph"/>
        <w:numPr>
          <w:ilvl w:val="0"/>
          <w:numId w:val="2"/>
        </w:numPr>
        <w:spacing w:after="50" w:before="50"/>
      </w:pPr>
      <w:r>
        <w:rPr>
          <w:rFonts w:ascii="Arial" w:cs="Arial" w:eastAsia="Arial" w:hAnsi="Arial"/>
          <w:b w:val="false"/>
          <w:bCs w:val="false"/>
          <w:color w:val="2E3A47"/>
          <w:sz w:val="20"/>
          <w:szCs w:val="20"/>
        </w:rPr>
        <w:t xml:space="preserve">The brand accent color does not affect the internal Planix interface in any way. It applies only to customer-facing generated content.</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V.12.6  Report PDF Branding Layout</w:t>
      </w:r>
    </w:p>
    <w:p>
      <w:pPr>
        <w:spacing w:after="60" w:before="60"/>
      </w:pPr>
      <w:r>
        <w:rPr>
          <w:rFonts w:ascii="Arial" w:cs="Arial" w:eastAsia="Arial" w:hAnsi="Arial"/>
          <w:color w:val="2E3A47"/>
          <w:sz w:val="20"/>
          <w:szCs w:val="20"/>
        </w:rPr>
        <w:t xml:space="preserve">Every generated PDF report follows this branded structure: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Report Section</w:t>
            </w:r>
          </w:p>
        </w:tc>
        <w:tc>
          <w:tcPr>
            <w:tcW w:type="dxa" w:w="22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Dark Mode Equiv.</w:t>
            </w:r>
          </w:p>
        </w:tc>
        <w:tc>
          <w:tcPr>
            <w:tcW w:type="dxa" w:w="456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Content</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Page header</w:t>
            </w:r>
          </w:p>
        </w:tc>
        <w:tc>
          <w:tcPr>
            <w:tcW w:type="dxa" w:w="2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N/A (print)</w:t>
            </w:r>
          </w:p>
        </w:tc>
        <w:tc>
          <w:tcPr>
            <w:tcW w:type="dxa" w:w="45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Customer logo left-aligned (48px max height). Report title center. Generation date right-aligned. Brand accent color background fill.</w:t>
            </w:r>
          </w:p>
        </w:tc>
      </w:tr>
      <w:tr>
        <w:tc>
          <w:tcPr>
            <w:tcW w:type="dxa" w:w="2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Page footer</w:t>
            </w:r>
          </w:p>
        </w:tc>
        <w:tc>
          <w:tcPr>
            <w:tcW w:type="dxa" w:w="2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N/A (print)</w:t>
            </w:r>
          </w:p>
        </w:tc>
        <w:tc>
          <w:tcPr>
            <w:tcW w:type="dxa" w:w="45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Left: report footer text (customized or default 'Prepared by CHR Solutions for [Name]'). Center: page number. Right: CHR Solutions contact or website.</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Section headers</w:t>
            </w:r>
          </w:p>
        </w:tc>
        <w:tc>
          <w:tcPr>
            <w:tcW w:type="dxa" w:w="2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Card title equivalent</w:t>
            </w:r>
          </w:p>
        </w:tc>
        <w:tc>
          <w:tcPr>
            <w:tcW w:type="dxa" w:w="45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Brand accent color background. White text. Same layout as the Planix internal section headers but using customer brand color.</w:t>
            </w:r>
          </w:p>
        </w:tc>
      </w:tr>
      <w:tr>
        <w:tc>
          <w:tcPr>
            <w:tcW w:type="dxa" w:w="2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Data tables</w:t>
            </w:r>
          </w:p>
        </w:tc>
        <w:tc>
          <w:tcPr>
            <w:tcW w:type="dxa" w:w="2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Table component</w:t>
            </w:r>
          </w:p>
        </w:tc>
        <w:tc>
          <w:tcPr>
            <w:tcW w:type="dxa" w:w="45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Header row in brand accent color. Alternating row fill in light gray and white. Body text in dark gray. Print-safe (no near-black backgrounds on table cells).</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Progress bars</w:t>
            </w:r>
          </w:p>
        </w:tc>
        <w:tc>
          <w:tcPr>
            <w:tcW w:type="dxa" w:w="2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Linear progress bar</w:t>
            </w:r>
          </w:p>
        </w:tc>
        <w:tc>
          <w:tcPr>
            <w:tcW w:type="dxa" w:w="45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Brand accent color fill on a light gray track. Status overrides still apply: overdue items show in red regardless of brand color.</w:t>
            </w:r>
          </w:p>
        </w:tc>
      </w:tr>
      <w:tr>
        <w:tc>
          <w:tcPr>
            <w:tcW w:type="dxa" w:w="2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Status badges</w:t>
            </w:r>
          </w:p>
        </w:tc>
        <w:tc>
          <w:tcPr>
            <w:tcW w:type="dxa" w:w="2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Status badge component</w:t>
            </w:r>
          </w:p>
        </w:tc>
        <w:tc>
          <w:tcPr>
            <w:tcW w:type="dxa" w:w="45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Status colors unchanged in reports. These communicate project health and must not be overridden by brand color.</w:t>
            </w:r>
          </w:p>
        </w:tc>
      </w:tr>
    </w:tbl>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V.12.7  Customer Portal White-Label</w:t>
      </w:r>
    </w:p>
    <w:p>
      <w:pPr>
        <w:pStyle w:val="ListParagraph"/>
        <w:numPr>
          <w:ilvl w:val="0"/>
          <w:numId w:val="2"/>
        </w:numPr>
        <w:spacing w:after="50" w:before="50"/>
      </w:pPr>
      <w:r>
        <w:rPr>
          <w:rFonts w:ascii="Arial" w:cs="Arial" w:eastAsia="Arial" w:hAnsi="Arial"/>
          <w:b w:val="false"/>
          <w:bCs w:val="false"/>
          <w:color w:val="2E3A47"/>
          <w:sz w:val="20"/>
          <w:szCs w:val="20"/>
        </w:rPr>
        <w:t xml:space="preserve">The customer portal URL remains planix.chrsolutions.com/portal/[customer-id]. A custom domain (e.g. projects.customerdomain.com) is a Phase 6 enhancement.</w:t>
      </w:r>
    </w:p>
    <w:p>
      <w:pPr>
        <w:pStyle w:val="ListParagraph"/>
        <w:numPr>
          <w:ilvl w:val="0"/>
          <w:numId w:val="2"/>
        </w:numPr>
        <w:spacing w:after="50" w:before="50"/>
      </w:pPr>
      <w:r>
        <w:rPr>
          <w:rFonts w:ascii="Arial" w:cs="Arial" w:eastAsia="Arial" w:hAnsi="Arial"/>
          <w:b w:val="false"/>
          <w:bCs w:val="false"/>
          <w:color w:val="2E3A47"/>
          <w:sz w:val="20"/>
          <w:szCs w:val="20"/>
        </w:rPr>
        <w:t xml:space="preserve">The portal header shows the customer logo where the Planix mark would appear in the internal app.</w:t>
      </w:r>
    </w:p>
    <w:p>
      <w:pPr>
        <w:pStyle w:val="ListParagraph"/>
        <w:numPr>
          <w:ilvl w:val="0"/>
          <w:numId w:val="2"/>
        </w:numPr>
        <w:spacing w:after="50" w:before="50"/>
      </w:pPr>
      <w:r>
        <w:rPr>
          <w:rFonts w:ascii="Arial" w:cs="Arial" w:eastAsia="Arial" w:hAnsi="Arial"/>
          <w:b w:val="false"/>
          <w:bCs w:val="false"/>
          <w:color w:val="2E3A47"/>
          <w:sz w:val="20"/>
          <w:szCs w:val="20"/>
        </w:rPr>
        <w:t xml:space="preserve">The browser tab title: '[Customer Name] Project Portal' not 'Planix'</w:t>
      </w:r>
    </w:p>
    <w:p>
      <w:pPr>
        <w:pStyle w:val="ListParagraph"/>
        <w:numPr>
          <w:ilvl w:val="0"/>
          <w:numId w:val="2"/>
        </w:numPr>
        <w:spacing w:after="50" w:before="50"/>
      </w:pPr>
      <w:r>
        <w:rPr>
          <w:rFonts w:ascii="Arial" w:cs="Arial" w:eastAsia="Arial" w:hAnsi="Arial"/>
          <w:b w:val="false"/>
          <w:bCs w:val="false"/>
          <w:color w:val="2E3A47"/>
          <w:sz w:val="20"/>
          <w:szCs w:val="20"/>
        </w:rPr>
        <w:t xml:space="preserve">The portal accent color uses the customer brand color if set, otherwise CHR teal.</w:t>
      </w:r>
    </w:p>
    <w:p>
      <w:pPr>
        <w:pStyle w:val="ListParagraph"/>
        <w:numPr>
          <w:ilvl w:val="0"/>
          <w:numId w:val="2"/>
        </w:numPr>
        <w:spacing w:after="50" w:before="50"/>
      </w:pPr>
      <w:r>
        <w:rPr>
          <w:rFonts w:ascii="Arial" w:cs="Arial" w:eastAsia="Arial" w:hAnsi="Arial"/>
          <w:b w:val="false"/>
          <w:bCs w:val="false"/>
          <w:color w:val="2E3A47"/>
          <w:sz w:val="20"/>
          <w:szCs w:val="20"/>
        </w:rPr>
        <w:t xml:space="preserve">The footer of the customer portal reads: 'Powered by CHR Solutions' in small muted text. The Planix name does not appear.</w:t>
      </w:r>
    </w:p>
    <w:p>
      <w:pPr>
        <w:pStyle w:val="ListParagraph"/>
        <w:numPr>
          <w:ilvl w:val="0"/>
          <w:numId w:val="2"/>
        </w:numPr>
        <w:spacing w:after="50" w:before="50"/>
      </w:pPr>
      <w:r>
        <w:rPr>
          <w:rFonts w:ascii="Arial" w:cs="Arial" w:eastAsia="Arial" w:hAnsi="Arial"/>
          <w:b w:val="false"/>
          <w:bCs w:val="false"/>
          <w:color w:val="2E3A47"/>
          <w:sz w:val="20"/>
          <w:szCs w:val="20"/>
        </w:rPr>
        <w:t xml:space="preserve">If no logo is uploaded, the customer name in large text replaces the logo in the portal header.</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V.12.8  Setting Up White-Label for a Customer</w:t>
      </w:r>
    </w:p>
    <w:p>
      <w:pPr>
        <w:pStyle w:val="ListParagraph"/>
        <w:numPr>
          <w:ilvl w:val="0"/>
          <w:numId w:val="3"/>
        </w:numPr>
        <w:spacing w:after="50" w:before="50"/>
      </w:pPr>
      <w:r>
        <w:rPr>
          <w:rFonts w:ascii="Arial" w:cs="Arial" w:eastAsia="Arial" w:hAnsi="Arial"/>
          <w:color w:val="2E3A47"/>
          <w:sz w:val="20"/>
          <w:szCs w:val="20"/>
        </w:rPr>
        <w:t xml:space="preserve">Admin or PM opens the Customer Record in Planix</w:t>
      </w:r>
    </w:p>
    <w:p>
      <w:pPr>
        <w:pStyle w:val="ListParagraph"/>
        <w:numPr>
          <w:ilvl w:val="0"/>
          <w:numId w:val="3"/>
        </w:numPr>
        <w:spacing w:after="50" w:before="50"/>
      </w:pPr>
      <w:r>
        <w:rPr>
          <w:rFonts w:ascii="Arial" w:cs="Arial" w:eastAsia="Arial" w:hAnsi="Arial"/>
          <w:color w:val="2E3A47"/>
          <w:sz w:val="20"/>
          <w:szCs w:val="20"/>
        </w:rPr>
        <w:t xml:space="preserve">Navigates to the Branding tab of the customer settings</w:t>
      </w:r>
    </w:p>
    <w:p>
      <w:pPr>
        <w:pStyle w:val="ListParagraph"/>
        <w:numPr>
          <w:ilvl w:val="0"/>
          <w:numId w:val="3"/>
        </w:numPr>
        <w:spacing w:after="50" w:before="50"/>
      </w:pPr>
      <w:r>
        <w:rPr>
          <w:rFonts w:ascii="Arial" w:cs="Arial" w:eastAsia="Arial" w:hAnsi="Arial"/>
          <w:color w:val="2E3A47"/>
          <w:sz w:val="20"/>
          <w:szCs w:val="20"/>
        </w:rPr>
        <w:t xml:space="preserve">Uploads the customer logo (drag and drop or file picker)</w:t>
      </w:r>
    </w:p>
    <w:p>
      <w:pPr>
        <w:pStyle w:val="ListParagraph"/>
        <w:numPr>
          <w:ilvl w:val="0"/>
          <w:numId w:val="3"/>
        </w:numPr>
        <w:spacing w:after="50" w:before="50"/>
      </w:pPr>
      <w:r>
        <w:rPr>
          <w:rFonts w:ascii="Arial" w:cs="Arial" w:eastAsia="Arial" w:hAnsi="Arial"/>
          <w:color w:val="2E3A47"/>
          <w:sz w:val="20"/>
          <w:szCs w:val="20"/>
        </w:rPr>
        <w:t xml:space="preserve">Enters the brand accent color (color picker or hex input with live contrast check)</w:t>
      </w:r>
    </w:p>
    <w:p>
      <w:pPr>
        <w:pStyle w:val="ListParagraph"/>
        <w:numPr>
          <w:ilvl w:val="0"/>
          <w:numId w:val="3"/>
        </w:numPr>
        <w:spacing w:after="50" w:before="50"/>
      </w:pPr>
      <w:r>
        <w:rPr>
          <w:rFonts w:ascii="Arial" w:cs="Arial" w:eastAsia="Arial" w:hAnsi="Arial"/>
          <w:color w:val="2E3A47"/>
          <w:sz w:val="20"/>
          <w:szCs w:val="20"/>
        </w:rPr>
        <w:t xml:space="preserve">Customizes the report footer text if desired</w:t>
      </w:r>
    </w:p>
    <w:p>
      <w:pPr>
        <w:pStyle w:val="ListParagraph"/>
        <w:numPr>
          <w:ilvl w:val="0"/>
          <w:numId w:val="3"/>
        </w:numPr>
        <w:spacing w:after="50" w:before="50"/>
      </w:pPr>
      <w:r>
        <w:rPr>
          <w:rFonts w:ascii="Arial" w:cs="Arial" w:eastAsia="Arial" w:hAnsi="Arial"/>
          <w:color w:val="2E3A47"/>
          <w:sz w:val="20"/>
          <w:szCs w:val="20"/>
        </w:rPr>
        <w:t xml:space="preserve">Saves the profile. A preview of the report header renders immediately so the PM can verify it looks correct before generating a real report.</w:t>
      </w:r>
    </w:p>
    <w:p>
      <w:pPr>
        <w:pStyle w:val="ListParagraph"/>
        <w:numPr>
          <w:ilvl w:val="0"/>
          <w:numId w:val="3"/>
        </w:numPr>
        <w:spacing w:after="50" w:before="50"/>
      </w:pPr>
      <w:r>
        <w:rPr>
          <w:rFonts w:ascii="Arial" w:cs="Arial" w:eastAsia="Arial" w:hAnsi="Arial"/>
          <w:color w:val="2E3A47"/>
          <w:sz w:val="20"/>
          <w:szCs w:val="20"/>
        </w:rPr>
        <w:t xml:space="preserve">All future reports and portal views for this customer automatically use the profile.</w:t>
      </w:r>
    </w:p>
    <w:p>
      <w:pPr>
        <w:spacing w:after="0" w:before="100"/>
      </w:pPr>
      <w:r>
        <w:t xml:space="preserve"/>
      </w:r>
    </w:p>
    <w:p>
      <w:pPr>
        <w:pBdr>
          <w:left w:val="single" w:color="2E7D32" w:sz="10"/>
        </w:pBdr>
        <w:shd w:fill="E8F5E9" w:val="clear"/>
        <w:spacing w:after="160" w:before="160"/>
        <w:ind w:left="360" w:right="360"/>
      </w:pPr>
      <w:r>
        <w:rPr>
          <w:rFonts w:ascii="Arial" w:cs="Arial" w:eastAsia="Arial" w:hAnsi="Arial"/>
          <w:i/>
          <w:iCs/>
          <w:color w:val="0D2B55"/>
          <w:sz w:val="20"/>
          <w:szCs w:val="20"/>
        </w:rPr>
        <w:t xml:space="preserve">The white-label profile is set once per customer and is fully automatic thereafter. A PM generating a weekly status report does not need to think about branding. It just works.</w:t>
      </w:r>
    </w:p>
    <w:p>
      <w:pPr>
        <w:spacing w:after="0" w:before="100"/>
      </w:pPr>
      <w:r>
        <w:t xml:space="preserve"/>
      </w:r>
    </w:p>
    <w:p>
      <w:r>
        <w:br w:type="page"/>
      </w:r>
    </w:p>
    <w:p>
      <w:pPr>
        <w:pStyle w:val="Heading1"/>
        <w:shd w:fill="0D2B55" w:val="clear"/>
        <w:spacing w:after="240" w:before="480"/>
        <w:ind w:left="240"/>
      </w:pPr>
      <w:r>
        <w:rPr>
          <w:rFonts w:ascii="Arial" w:cs="Arial" w:eastAsia="Arial" w:hAnsi="Arial"/>
          <w:b/>
          <w:bCs/>
          <w:color w:val="FFFFFF"/>
          <w:sz w:val="34"/>
          <w:szCs w:val="34"/>
        </w:rPr>
        <w:t xml:space="preserve">V.13  Document Control</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Current version:</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v1.1</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Previous version:</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v1.0</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Next scheduled review:</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After Phase 1 development begins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Owner:</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Trent Martin, VP Technology Services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Change authority:</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VP Technology Services sign-off required for all changes</w:t>
            </w:r>
          </w:p>
        </w:tc>
      </w:tr>
    </w:tbl>
    <w:p>
      <w:pPr>
        <w:spacing w:after="0" w:before="200"/>
      </w:pPr>
      <w:r>
        <w:t xml:space="preserve"/>
      </w:r>
    </w:p>
    <w:p>
      <w:pPr>
        <w:spacing w:before="480"/>
        <w:jc w:val="center"/>
      </w:pPr>
      <w:r>
        <w:rPr>
          <w:rFonts w:ascii="Arial" w:cs="Arial" w:eastAsia="Arial" w:hAnsi="Arial"/>
          <w:i/>
          <w:iCs/>
          <w:color w:val="607080"/>
          <w:sz w:val="18"/>
          <w:szCs w:val="18"/>
        </w:rPr>
        <w:t xml:space="preserve">End of Document - Planix UI/UX Design System v1.1  |  June 2026</w:t>
      </w:r>
    </w:p>
    <w:sectPr>
      <w:footerReference w:type="default" r:id="rId7"/>
      <w:pgSz w:w="12240" w:h="15840" w:orient="portrait"/>
      <w:pgMar w:top="108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2"/>
      </w:pBdr>
      <w:spacing w:before="120"/>
      <w:jc w:val="center"/>
    </w:pPr>
    <w:r>
      <w:rPr>
        <w:rFonts w:ascii="Arial" w:cs="Arial" w:eastAsia="Arial" w:hAnsi="Arial"/>
        <w:color w:val="607080"/>
        <w:sz w:val="16"/>
        <w:szCs w:val="16"/>
      </w:rPr>
      <w:t xml:space="preserve">Planix  |  UI/UX Design System  |  v1.1  |  Page </w:t>
    </w:r>
    <w:r>
      <w:rPr>
        <w:rFonts w:ascii="Arial" w:cs="Arial" w:eastAsia="Arial" w:hAnsi="Arial"/>
        <w:color w:val="607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34"/>
      <w:szCs w:val="34"/>
    </w:rPr>
  </w:style>
  <w:style w:type="paragraph" w:styleId="Heading2">
    <w:name w:val="Heading 2"/>
    <w:basedOn w:val="Normal"/>
    <w:next w:val="Normal"/>
    <w:qFormat/>
    <w:pPr>
      <w:spacing w:after="160" w:before="36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2026-06-25T14:33:37.408Z</dcterms:created>
  <dcterms:modified xsi:type="dcterms:W3CDTF">2026-06-25T14:33:37.423Z</dcterms:modified>
</cp:coreProperties>
</file>

<file path=docProps/custom.xml><?xml version="1.0" encoding="utf-8"?>
<Properties xmlns="http://schemas.openxmlformats.org/officeDocument/2006/custom-properties" xmlns:vt="http://schemas.openxmlformats.org/officeDocument/2006/docPropsVTypes"/>
</file>