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AI-QMS v3.7.0 Update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2026-04-09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v3.7.0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AI Prompt Engineering Improvements — Evidence-Based Revision from Academic Research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AI-QMS Development Team</w:t>
            </w:r>
          </w:p>
        </w:tc>
      </w:tr>
    </w:tbl>
    <w:p>
      <w:r>
        <w:t xml:space="preserve"> </w:t>
      </w:r>
    </w:p>
    <w:p>
      <w:pPr>
        <w:pStyle w:val="Heading2"/>
      </w:pPr>
      <w:r>
        <w:t>Overview</w:t>
      </w:r>
    </w:p>
    <w:p>
      <w:r>
        <w:t>This update refines the LLM prompt design across four core analysis modules based on a systematic review of peer-reviewed papers and conference proceedings on AI-assisted medical device regulatory compliance. The improvements are grounded in ISO 13485:2016 audit practice, MDSAP multi-country assessment methodology, and recent findings on LLM reliability in regulated environments.</w:t>
      </w:r>
    </w:p>
    <w:p>
      <w:pPr>
        <w:pStyle w:val="Heading2"/>
      </w:pPr>
      <w:r>
        <w:t>1. Academic Research Basis</w:t>
      </w:r>
    </w:p>
    <w:p>
      <w:r>
        <w:t>The following peer-reviewed papers and conference proceedings directly informed the prompt revisions in this release: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Paper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Key Finding Applied to Prompts</w:t>
            </w:r>
          </w:p>
        </w:tc>
      </w:tr>
      <w:tr>
        <w:tc>
          <w:tcPr>
            <w:tcW w:type="dxa" w:w="2880"/>
          </w:tcPr>
          <w:p>
            <w:r>
              <w:t>Standard Applicability Judgment: A RAG-based Framework for Medical Device Compliance (Han et al.)</w:t>
            </w:r>
          </w:p>
        </w:tc>
        <w:tc>
          <w:tcPr>
            <w:tcW w:type="dxa" w:w="2880"/>
          </w:tcPr>
          <w:p>
            <w:r>
              <w:t>arXiv:2506.18511</w:t>
            </w:r>
          </w:p>
        </w:tc>
        <w:tc>
          <w:tcPr>
            <w:tcW w:type="dxa" w:w="2880"/>
          </w:tcPr>
          <w:p>
            <w:r>
              <w:t>Ground all analysis strictly in retrieved regulatory text; set confidence &lt; 0.4 when text evidence is insufficient; 73% classification accuracy with RAG grounding</w:t>
            </w:r>
          </w:p>
        </w:tc>
      </w:tr>
      <w:tr>
        <w:tc>
          <w:tcPr>
            <w:tcW w:type="dxa" w:w="2880"/>
          </w:tcPr>
          <w:p>
            <w:r>
              <w:t>AI for Regulatory Affairs: Balancing Accuracy, Interpretability and Computational Cost in Medical Device Classification</w:t>
            </w:r>
          </w:p>
        </w:tc>
        <w:tc>
          <w:tcPr>
            <w:tcW w:type="dxa" w:w="2880"/>
          </w:tcPr>
          <w:p>
            <w:r>
              <w:t>arXiv:2505.18695</w:t>
            </w:r>
          </w:p>
        </w:tc>
        <w:tc>
          <w:tcPr>
            <w:tcW w:type="dxa" w:w="2880"/>
          </w:tcPr>
          <w:p>
            <w:r>
              <w:t>Role-based persona prompting with jurisdiction-specific expertise improves output quality; LLM language plausibility does NOT equal legal correctness (LLM 45% vs CNN 88% accuracy)</w:t>
            </w:r>
          </w:p>
        </w:tc>
      </w:tr>
      <w:tr>
        <w:tc>
          <w:tcPr>
            <w:tcW w:type="dxa" w:w="2880"/>
          </w:tcPr>
          <w:p>
            <w:r>
              <w:t>Regulator-Manufacturer AI Agents Modeling: Mathematical Feedback-Driven Multi-Agent LLM Framework</w:t>
            </w:r>
          </w:p>
        </w:tc>
        <w:tc>
          <w:tcPr>
            <w:tcW w:type="dxa" w:w="2880"/>
          </w:tcPr>
          <w:p>
            <w:r>
              <w:t>arXiv:2411.15356</w:t>
            </w:r>
          </w:p>
        </w:tc>
        <w:tc>
          <w:tcPr>
            <w:tcW w:type="dxa" w:w="2880"/>
          </w:tcPr>
          <w:p>
            <w:r>
              <w:t>Structured role separation (Analyzer vs Verifier) and iterative feedback loops improve compliance reasoning quality</w:t>
            </w:r>
          </w:p>
        </w:tc>
      </w:tr>
      <w:tr>
        <w:tc>
          <w:tcPr>
            <w:tcW w:type="dxa" w:w="2880"/>
          </w:tcPr>
          <w:p>
            <w:r>
              <w:t>Large Language Model Non-compliance with FDA Guidance for Clinical Decision Support Devices</w:t>
            </w:r>
          </w:p>
        </w:tc>
        <w:tc>
          <w:tcPr>
            <w:tcW w:type="dxa" w:w="2880"/>
          </w:tcPr>
          <w:p>
            <w:r>
              <w:t>PMC11419185</w:t>
            </w:r>
          </w:p>
        </w:tc>
        <w:tc>
          <w:tcPr>
            <w:tcW w:type="dxa" w:w="2880"/>
          </w:tcPr>
          <w:p>
            <w:r>
              <w:t>Prompts alone are insufficient to guarantee compliance; emergency scenario GPT-4 non-compliance 100%; language plausibility vs legal correctness must be made explicit</w:t>
            </w:r>
          </w:p>
        </w:tc>
      </w:tr>
      <w:tr>
        <w:tc>
          <w:tcPr>
            <w:tcW w:type="dxa" w:w="2880"/>
          </w:tcPr>
          <w:p>
            <w:r>
              <w:t>Applying and Validating a Quality Management System for In-house Developed Medical Software</w:t>
            </w:r>
          </w:p>
        </w:tc>
        <w:tc>
          <w:tcPr>
            <w:tcW w:type="dxa" w:w="2880"/>
          </w:tcPr>
          <w:p>
            <w:r>
              <w:t>PMC11996894</w:t>
            </w:r>
          </w:p>
        </w:tc>
        <w:tc>
          <w:tcPr>
            <w:tcW w:type="dxa" w:w="2880"/>
          </w:tcPr>
          <w:p>
            <w:r>
              <w:t>ISO 13485 gap analysis distributes as: sufficient 32% / incomplete 23% / entirely lacking 45% — all three categories must be explicitly distinguished in prompts</w:t>
            </w:r>
          </w:p>
        </w:tc>
      </w:tr>
      <w:tr>
        <w:tc>
          <w:tcPr>
            <w:tcW w:type="dxa" w:w="2880"/>
          </w:tcPr>
          <w:p>
            <w:r>
              <w:t>Implementing Quality Management Systems to Close the AI Translation Gap in Health AI</w:t>
            </w:r>
          </w:p>
        </w:tc>
        <w:tc>
          <w:tcPr>
            <w:tcW w:type="dxa" w:w="2880"/>
          </w:tcPr>
          <w:p>
            <w:r>
              <w:t>PMC10676432</w:t>
            </w:r>
          </w:p>
        </w:tc>
        <w:tc>
          <w:tcPr>
            <w:tcW w:type="dxa" w:w="2880"/>
          </w:tcPr>
          <w:p>
            <w:r>
              <w:t>FDA Good Machine Learning Practices (GMLP) as AI/ML lifecycle baseline; staged regulatory rigor approach by product maturity</w:t>
            </w:r>
          </w:p>
        </w:tc>
      </w:tr>
    </w:tbl>
    <w:p>
      <w:r>
        <w:rPr>
          <w:i/>
          <w:color w:val="595959"/>
        </w:rPr>
        <w:t>Note on Rajeev Yadav's "AI Prompts for Medical Device Compliance" (ISBN: 9798254027799): This handbook was reviewed as a supplementary reference. The book covers EU MDR, FDA 21 CFR, ISO 13485, ISO 14971, and IEC 62304 prompt design principles, emphasizing precision-engineered prompts calibrated for regulatory acceptance rather than linguistic plausibility. Full chapter content was not directly accessible; only the published book description was used. Specific prompt revisions in this release are attributed exclusively to the peer-reviewed papers above.</w:t>
      </w:r>
    </w:p>
    <w:p>
      <w:pPr>
        <w:pStyle w:val="Heading2"/>
      </w:pPr>
      <w:r>
        <w:t>2. Changed Files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Prompt Changed</w:t>
            </w:r>
          </w:p>
        </w:tc>
        <w:tc>
          <w:tcPr>
            <w:tcW w:type="dxa" w:w="2880"/>
          </w:tcPr>
          <w:p>
            <w:r>
              <w:t>Primary Research Basis</w:t>
            </w:r>
          </w:p>
        </w:tc>
      </w:tr>
      <w:tr>
        <w:tc>
          <w:tcPr>
            <w:tcW w:type="dxa" w:w="2880"/>
          </w:tcPr>
          <w:p>
            <w:r>
              <w:t>src/analysis/regulation_analyzer.py</w:t>
            </w:r>
          </w:p>
        </w:tc>
        <w:tc>
          <w:tcPr>
            <w:tcW w:type="dxa" w:w="2880"/>
          </w:tcPr>
          <w:p>
            <w:r>
              <w:t>_build_clause_batch_prompt, _build_unique_requirements_prompt</w:t>
            </w:r>
          </w:p>
        </w:tc>
        <w:tc>
          <w:tcPr>
            <w:tcW w:type="dxa" w:w="2880"/>
          </w:tcPr>
          <w:p>
            <w:r>
              <w:t>arXiv:2505.18695 (role-based persona), arXiv:2506.18511 (evidence grounding), PMC11419185 (plausibility vs correctness)</w:t>
            </w:r>
          </w:p>
        </w:tc>
      </w:tr>
      <w:tr>
        <w:tc>
          <w:tcPr>
            <w:tcW w:type="dxa" w:w="2880"/>
          </w:tcPr>
          <w:p>
            <w:r>
              <w:t>src/analysis/gap_scanner.py</w:t>
            </w:r>
          </w:p>
        </w:tc>
        <w:tc>
          <w:tcPr>
            <w:tcW w:type="dxa" w:w="2880"/>
          </w:tcPr>
          <w:p>
            <w:r>
              <w:t>_SYSTEM_PROMPT, _DOC_SYSTEM_PROMPT</w:t>
            </w:r>
          </w:p>
        </w:tc>
        <w:tc>
          <w:tcPr>
            <w:tcW w:type="dxa" w:w="2880"/>
          </w:tcPr>
          <w:p>
            <w:r>
              <w:t>PMC11996894 (3-category gap classification: sufficient/incomplete/lacking), PMC11419185 (plausibility vs correctness)</w:t>
            </w:r>
          </w:p>
        </w:tc>
      </w:tr>
      <w:tr>
        <w:tc>
          <w:tcPr>
            <w:tcW w:type="dxa" w:w="2880"/>
          </w:tcPr>
          <w:p>
            <w:r>
              <w:t>src/analysis/verifier.py</w:t>
            </w:r>
          </w:p>
        </w:tc>
        <w:tc>
          <w:tcPr>
            <w:tcW w:type="dxa" w:w="2880"/>
          </w:tcPr>
          <w:p>
            <w:r>
              <w:t>_ANALYZER_SYSTEM_PROMPT, _VERIFIER_SYSTEM_PROMPT</w:t>
            </w:r>
          </w:p>
        </w:tc>
        <w:tc>
          <w:tcPr>
            <w:tcW w:type="dxa" w:w="2880"/>
          </w:tcPr>
          <w:p>
            <w:r>
              <w:t>arXiv:2411.15356 (role separation), arXiv:2505.18695 (legal correctness), PMC10676432 (risk-based approach)</w:t>
            </w:r>
          </w:p>
        </w:tc>
      </w:tr>
      <w:tr>
        <w:tc>
          <w:tcPr>
            <w:tcW w:type="dxa" w:w="2880"/>
          </w:tcPr>
          <w:p>
            <w:r>
              <w:t>src/analysis/crossexam_qa_agent.py</w:t>
            </w:r>
          </w:p>
        </w:tc>
        <w:tc>
          <w:tcPr>
            <w:tcW w:type="dxa" w:w="2880"/>
          </w:tcPr>
          <w:p>
            <w:r>
              <w:t>_META_ANALYSIS_SYSTEM_PROMPTS (zh + en)</w:t>
            </w:r>
          </w:p>
        </w:tc>
        <w:tc>
          <w:tcPr>
            <w:tcW w:type="dxa" w:w="2880"/>
          </w:tcPr>
          <w:p>
            <w:r>
              <w:t>PMC11419185 (hallucination detection), PMC10676432 (GMLP/regulatory alignment), arXiv:2411.15356 (feedback loop quality)</w:t>
            </w:r>
          </w:p>
        </w:tc>
      </w:tr>
    </w:tbl>
    <w:p>
      <w:pPr>
        <w:pStyle w:val="Heading2"/>
      </w:pPr>
      <w:r>
        <w:t>3. regulation_analyzer.py — Prompt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LLM Persona</w:t>
            </w:r>
          </w:p>
        </w:tc>
        <w:tc>
          <w:tcPr>
            <w:tcW w:type="dxa" w:w="2880"/>
          </w:tcPr>
          <w:p>
            <w:r>
              <w:t>Generic 'medical device regulatory expert'</w:t>
            </w:r>
          </w:p>
        </w:tc>
        <w:tc>
          <w:tcPr>
            <w:tcW w:type="dxa" w:w="2880"/>
          </w:tcPr>
          <w:p>
            <w:r>
              <w:t>Senior RA specialist with MDSAP multi-country audit experience (Asia-Pacific, EU, North America)</w:t>
            </w:r>
          </w:p>
        </w:tc>
      </w:tr>
      <w:tr>
        <w:tc>
          <w:tcPr>
            <w:tcW w:type="dxa" w:w="2880"/>
          </w:tcPr>
          <w:p>
            <w:r>
              <w:t>Reasoning Structure</w:t>
            </w:r>
          </w:p>
        </w:tc>
        <w:tc>
          <w:tcPr>
            <w:tcW w:type="dxa" w:w="2880"/>
          </w:tcPr>
          <w:p>
            <w:r>
              <w:t>Single-step clause mapping</w:t>
            </w:r>
          </w:p>
        </w:tc>
        <w:tc>
          <w:tcPr>
            <w:tcW w:type="dxa" w:w="2880"/>
          </w:tcPr>
          <w:p>
            <w:r>
              <w:t>4-step chain-of-thought: explicit search → functional equivalence check → completeness assessment → confidence calibration</w:t>
            </w:r>
          </w:p>
        </w:tc>
      </w:tr>
      <w:tr>
        <w:tc>
          <w:tcPr>
            <w:tcW w:type="dxa" w:w="2880"/>
          </w:tcPr>
          <w:p>
            <w:r>
              <w:t>Evidence Grounding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  <w:tc>
          <w:tcPr>
            <w:tcW w:type="dxa" w:w="2880"/>
          </w:tcPr>
          <w:p>
            <w:r>
              <w:t>Must cite specific article/section; based ONLY on provided regulatory text (arXiv:2506.18511)</w:t>
            </w:r>
          </w:p>
        </w:tc>
      </w:tr>
      <w:tr>
        <w:tc>
          <w:tcPr>
            <w:tcW w:type="dxa" w:w="2880"/>
          </w:tcPr>
          <w:p>
            <w:r>
              <w:t>Plausibility vs Correctness</w:t>
            </w:r>
          </w:p>
        </w:tc>
        <w:tc>
          <w:tcPr>
            <w:tcW w:type="dxa" w:w="2880"/>
          </w:tcPr>
          <w:p>
            <w:r>
              <w:t>Not addressed</w:t>
            </w:r>
          </w:p>
        </w:tc>
        <w:tc>
          <w:tcPr>
            <w:tcW w:type="dxa" w:w="2880"/>
          </w:tcPr>
          <w:p>
            <w:r>
              <w:t>Explicit rule: language plausibility ≠ legal correctness; similar terminology ≠ substantive coverage (PMC11419185)</w:t>
            </w:r>
          </w:p>
        </w:tc>
      </w:tr>
      <w:tr>
        <w:tc>
          <w:tcPr>
            <w:tcW w:type="dxa" w:w="2880"/>
          </w:tcPr>
          <w:p>
            <w:r>
              <w:t>Confidence Floor</w:t>
            </w:r>
          </w:p>
        </w:tc>
        <w:tc>
          <w:tcPr>
            <w:tcW w:type="dxa" w:w="2880"/>
          </w:tcPr>
          <w:p>
            <w:r>
              <w:t>0.3 for insufficient data</w:t>
            </w:r>
          </w:p>
        </w:tc>
        <w:tc>
          <w:tcPr>
            <w:tcW w:type="dxa" w:w="2880"/>
          </w:tcPr>
          <w:p>
            <w:r>
              <w:t>0.25 for absent evidence; tightened calibration criteria</w:t>
            </w:r>
          </w:p>
        </w:tc>
      </w:tr>
      <w:tr>
        <w:tc>
          <w:tcPr>
            <w:tcW w:type="dxa" w:w="2880"/>
          </w:tcPr>
          <w:p>
            <w:r>
              <w:t>Unique Req. Scope</w:t>
            </w:r>
          </w:p>
        </w:tc>
        <w:tc>
          <w:tcPr>
            <w:tcW w:type="dxa" w:w="2880"/>
          </w:tcPr>
          <w:p>
            <w:r>
              <w:t>8 categories</w:t>
            </w:r>
          </w:p>
        </w:tc>
        <w:tc>
          <w:tcPr>
            <w:tcW w:type="dxa" w:w="2880"/>
          </w:tcPr>
          <w:p>
            <w:r>
              <w:t>Expanded to 10 categories: added PSUR reporting and UDI/traceability system requirements</w:t>
            </w:r>
          </w:p>
        </w:tc>
      </w:tr>
    </w:tbl>
    <w:p>
      <w:pPr>
        <w:pStyle w:val="Heading2"/>
      </w:pPr>
      <w:r>
        <w:t>4. gap_scanner.py — Prompt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Role Definition</w:t>
            </w:r>
          </w:p>
        </w:tc>
        <w:tc>
          <w:tcPr>
            <w:tcW w:type="dxa" w:w="2880"/>
          </w:tcPr>
          <w:p>
            <w:r>
              <w:t>Generic QMS document search assistant</w:t>
            </w:r>
          </w:p>
        </w:tc>
        <w:tc>
          <w:tcPr>
            <w:tcW w:type="dxa" w:w="2880"/>
          </w:tcPr>
          <w:p>
            <w:r>
              <w:t>ISO 13485:2016 audit-support assistant using Objective Evidence (OE) principles</w:t>
            </w:r>
          </w:p>
        </w:tc>
      </w:tr>
      <w:tr>
        <w:tc>
          <w:tcPr>
            <w:tcW w:type="dxa" w:w="2880"/>
          </w:tcPr>
          <w:p>
            <w:r>
              <w:t>Gap Classification</w:t>
            </w:r>
          </w:p>
        </w:tc>
        <w:tc>
          <w:tcPr>
            <w:tcW w:type="dxa" w:w="2880"/>
          </w:tcPr>
          <w:p>
            <w:r>
              <w:t>Binary: found / not found + is_inadequate flag</w:t>
            </w:r>
          </w:p>
        </w:tc>
        <w:tc>
          <w:tcPr>
            <w:tcW w:type="dxa" w:w="2880"/>
          </w:tcPr>
          <w:p>
            <w:r>
              <w:t>Explicit 3-category: Sufficient / Incomplete / Lacking entirely (basis: PMC11996894 — 32% / 23% / 45% distribution)</w:t>
            </w:r>
          </w:p>
        </w:tc>
      </w:tr>
      <w:tr>
        <w:tc>
          <w:tcPr>
            <w:tcW w:type="dxa" w:w="2880"/>
          </w:tcPr>
          <w:p>
            <w:r>
              <w:t>Sufficiency Criteria</w:t>
            </w:r>
          </w:p>
        </w:tc>
        <w:tc>
          <w:tcPr>
            <w:tcW w:type="dxa" w:w="2880"/>
          </w:tcPr>
          <w:p>
            <w:r>
              <w:t>Vague: 'insufficient to cover requirement'</w:t>
            </w:r>
          </w:p>
        </w:tc>
        <w:tc>
          <w:tcPr>
            <w:tcW w:type="dxa" w:w="2880"/>
          </w:tcPr>
          <w:p>
            <w:r>
              <w:t>Concrete: document must describe HOW to execute, including responsible party, frequency, and measurable criteria</w:t>
            </w:r>
          </w:p>
        </w:tc>
      </w:tr>
      <w:tr>
        <w:tc>
          <w:tcPr>
            <w:tcW w:type="dxa" w:w="2880"/>
          </w:tcPr>
          <w:p>
            <w:r>
              <w:t>Plausibility Check</w:t>
            </w:r>
          </w:p>
        </w:tc>
        <w:tc>
          <w:tcPr>
            <w:tcW w:type="dxa" w:w="2880"/>
          </w:tcPr>
          <w:p>
            <w:r>
              <w:t>Not addressed</w:t>
            </w:r>
          </w:p>
        </w:tc>
        <w:tc>
          <w:tcPr>
            <w:tcW w:type="dxa" w:w="2880"/>
          </w:tcPr>
          <w:p>
            <w:r>
              <w:t>Explicit: similar terminology ≠ substantive regulatory coverage; verify actual procedural content (PMC11419185)</w:t>
            </w:r>
          </w:p>
        </w:tc>
      </w:tr>
      <w:tr>
        <w:tc>
          <w:tcPr>
            <w:tcW w:type="dxa" w:w="2880"/>
          </w:tcPr>
          <w:p>
            <w:r>
              <w:t>Outdated Detection</w:t>
            </w:r>
          </w:p>
        </w:tc>
        <w:tc>
          <w:tcPr>
            <w:tcW w:type="dxa" w:w="2880"/>
          </w:tcPr>
          <w:p>
            <w:r>
              <w:t>is_outdated field present but criteria unclear</w:t>
            </w:r>
          </w:p>
        </w:tc>
        <w:tc>
          <w:tcPr>
            <w:tcW w:type="dxa" w:w="2880"/>
          </w:tcPr>
          <w:p>
            <w:r>
              <w:t>Explicit trigger: flag if document references superseded standards (e.g., ISO 13485:2003 instead of 2016 edition)</w:t>
            </w:r>
          </w:p>
        </w:tc>
      </w:tr>
    </w:tbl>
    <w:p>
      <w:pPr>
        <w:pStyle w:val="Heading2"/>
      </w:pPr>
      <w:r>
        <w:t>5. verifier.py — Prompt Changes</w:t>
      </w:r>
    </w:p>
    <w:p>
      <w:r>
        <w:rPr>
          <w:b/>
        </w:rPr>
        <w:t>Analyzer Role (_ANALYZER_SYSTEM_PROMPT):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Role Definition</w:t>
            </w:r>
          </w:p>
        </w:tc>
        <w:tc>
          <w:tcPr>
            <w:tcW w:type="dxa" w:w="2880"/>
          </w:tcPr>
          <w:p>
            <w:r>
              <w:t>Generic 'Analyzer' in gap analysis</w:t>
            </w:r>
          </w:p>
        </w:tc>
        <w:tc>
          <w:tcPr>
            <w:tcW w:type="dxa" w:w="2880"/>
          </w:tcPr>
          <w:p>
            <w:r>
              <w:t>ISO 13485:2016 audit-experienced Analyzer</w:t>
            </w:r>
          </w:p>
        </w:tc>
      </w:tr>
      <w:tr>
        <w:tc>
          <w:tcPr>
            <w:tcW w:type="dxa" w:w="2880"/>
          </w:tcPr>
          <w:p>
            <w:r>
              <w:t>Evidence Standard</w:t>
            </w:r>
          </w:p>
        </w:tc>
        <w:tc>
          <w:tcPr>
            <w:tcW w:type="dxa" w:w="2880"/>
          </w:tcPr>
          <w:p>
            <w:r>
              <w:t>'Specific evidence citations'</w:t>
            </w:r>
          </w:p>
        </w:tc>
        <w:tc>
          <w:tcPr>
            <w:tcW w:type="dxa" w:w="2880"/>
          </w:tcPr>
          <w:p>
            <w:r>
              <w:t>Objective Evidence (OE) — ISO 13485 audit-standard terminology requiring verifiable, documented proof</w:t>
            </w:r>
          </w:p>
        </w:tc>
      </w:tr>
      <w:tr>
        <w:tc>
          <w:tcPr>
            <w:tcW w:type="dxa" w:w="2880"/>
          </w:tcPr>
          <w:p>
            <w:r>
              <w:t>Stated vs Implemented</w:t>
            </w:r>
          </w:p>
        </w:tc>
        <w:tc>
          <w:tcPr>
            <w:tcW w:type="dxa" w:w="2880"/>
          </w:tcPr>
          <w:p>
            <w:r>
              <w:t>Not distinguished</w:t>
            </w:r>
          </w:p>
        </w:tc>
        <w:tc>
          <w:tcPr>
            <w:tcW w:type="dxa" w:w="2880"/>
          </w:tcPr>
          <w:p>
            <w:r>
              <w:t>Explicit: distinguish 'document mentions requirement' vs 'document substantively describes how to implement it'</w:t>
            </w:r>
          </w:p>
        </w:tc>
      </w:tr>
    </w:tbl>
    <w:p>
      <w:r>
        <w:t xml:space="preserve"> </w:t>
      </w:r>
    </w:p>
    <w:p>
      <w:r>
        <w:rPr>
          <w:b/>
        </w:rPr>
        <w:t>Verifier Role (_VERIFIER_SYSTEM_PROMPT):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Role Definition</w:t>
            </w:r>
          </w:p>
        </w:tc>
        <w:tc>
          <w:tcPr>
            <w:tcW w:type="dxa" w:w="2880"/>
          </w:tcPr>
          <w:p>
            <w:r>
              <w:t>Generic 'Verifier' with compliance perspective</w:t>
            </w:r>
          </w:p>
        </w:tc>
        <w:tc>
          <w:tcPr>
            <w:tcW w:type="dxa" w:w="2880"/>
          </w:tcPr>
          <w:p>
            <w:r>
              <w:t>MDSAP multi-country lead auditor (arXiv:2505.18695 role-based persona)</w:t>
            </w:r>
          </w:p>
        </w:tc>
      </w:tr>
      <w:tr>
        <w:tc>
          <w:tcPr>
            <w:tcW w:type="dxa" w:w="2880"/>
          </w:tcPr>
          <w:p>
            <w:r>
              <w:t>Challenge Criteria Count</w:t>
            </w:r>
          </w:p>
        </w:tc>
        <w:tc>
          <w:tcPr>
            <w:tcW w:type="dxa" w:w="2880"/>
          </w:tcPr>
          <w:p>
            <w:r>
              <w:t>6 items</w:t>
            </w:r>
          </w:p>
        </w:tc>
        <w:tc>
          <w:tcPr>
            <w:tcW w:type="dxa" w:w="2880"/>
          </w:tcPr>
          <w:p>
            <w:r>
              <w:t>7 items — added ISO 14971 risk-based thinking: worst-case consequence of identified compliance gap</w:t>
            </w:r>
          </w:p>
        </w:tc>
      </w:tr>
      <w:tr>
        <w:tc>
          <w:tcPr>
            <w:tcW w:type="dxa" w:w="2880"/>
          </w:tcPr>
          <w:p>
            <w:r>
              <w:t>Sub-requirements Check</w:t>
            </w:r>
          </w:p>
        </w:tc>
        <w:tc>
          <w:tcPr>
            <w:tcW w:type="dxa" w:w="2880"/>
          </w:tcPr>
          <w:p>
            <w:r>
              <w:t>Mentioned implicitly</w:t>
            </w:r>
          </w:p>
        </w:tc>
        <w:tc>
          <w:tcPr>
            <w:tcW w:type="dxa" w:w="2880"/>
          </w:tcPr>
          <w:p>
            <w:r>
              <w:t>Explicit: verify ISO 13485:2016 sub-requirements, not only clause-level surface coverage</w:t>
            </w:r>
          </w:p>
        </w:tc>
      </w:tr>
      <w:tr>
        <w:tc>
          <w:tcPr>
            <w:tcW w:type="dxa" w:w="2880"/>
          </w:tcPr>
          <w:p>
            <w:r>
              <w:t>Plausibility vs Correctness</w:t>
            </w:r>
          </w:p>
        </w:tc>
        <w:tc>
          <w:tcPr>
            <w:tcW w:type="dxa" w:w="2880"/>
          </w:tcPr>
          <w:p>
            <w:r>
              <w:t>Item 3: 'stated vs executed'</w:t>
            </w:r>
          </w:p>
        </w:tc>
        <w:tc>
          <w:tcPr>
            <w:tcW w:type="dxa" w:w="2880"/>
          </w:tcPr>
          <w:p>
            <w:r>
              <w:t>Strengthened to named principle: language plausibility ≠ legal correctness (PMC11419185)</w:t>
            </w:r>
          </w:p>
        </w:tc>
      </w:tr>
      <w:tr>
        <w:tc>
          <w:tcPr>
            <w:tcW w:type="dxa" w:w="2880"/>
          </w:tcPr>
          <w:p>
            <w:r>
              <w:t>Risk Consideration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Added: assess worst-case clinical/safety impact if compliance gap is not addressed (ISO 14971 perspective)</w:t>
            </w:r>
          </w:p>
        </w:tc>
      </w:tr>
    </w:tbl>
    <w:p>
      <w:pPr>
        <w:pStyle w:val="Heading2"/>
      </w:pPr>
      <w:r>
        <w:t>6. crossexam_qa_agent.py — Prompt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Expert Role</w:t>
            </w:r>
          </w:p>
        </w:tc>
        <w:tc>
          <w:tcPr>
            <w:tcW w:type="dxa" w:w="2880"/>
          </w:tcPr>
          <w:p>
            <w:r>
              <w:t>QA expert for cross-examination quality</w:t>
            </w:r>
          </w:p>
        </w:tc>
        <w:tc>
          <w:tcPr>
            <w:tcW w:type="dxa" w:w="2880"/>
          </w:tcPr>
          <w:p>
            <w:r>
              <w:t>Dual-expertise: ISO 13485:2016 audit practice + AI output reliability evaluation</w:t>
            </w:r>
          </w:p>
        </w:tc>
      </w:tr>
      <w:tr>
        <w:tc>
          <w:tcPr>
            <w:tcW w:type="dxa" w:w="2880"/>
          </w:tcPr>
          <w:p>
            <w:r>
              <w:t>Quality Dimensions</w:t>
            </w:r>
          </w:p>
        </w:tc>
        <w:tc>
          <w:tcPr>
            <w:tcW w:type="dxa" w:w="2880"/>
          </w:tcPr>
          <w:p>
            <w:r>
              <w:t>6 categories</w:t>
            </w:r>
          </w:p>
        </w:tc>
        <w:tc>
          <w:tcPr>
            <w:tcW w:type="dxa" w:w="2880"/>
          </w:tcPr>
          <w:p>
            <w:r>
              <w:t>8 categories — added hallucination_risk and regulatory_alignment</w:t>
            </w:r>
          </w:p>
        </w:tc>
      </w:tr>
      <w:tr>
        <w:tc>
          <w:tcPr>
            <w:tcW w:type="dxa" w:w="2880"/>
          </w:tcPr>
          <w:p>
            <w:r>
              <w:t>Hallucination Detection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Flags generic, non-document-specific evidence citations likely to be AI-generated boilerplate (PMC11419185)</w:t>
            </w:r>
          </w:p>
        </w:tc>
      </w:tr>
      <w:tr>
        <w:tc>
          <w:tcPr>
            <w:tcW w:type="dxa" w:w="2880"/>
          </w:tcPr>
          <w:p>
            <w:r>
              <w:t>Regulatory Currency</w:t>
            </w:r>
          </w:p>
        </w:tc>
        <w:tc>
          <w:tcPr>
            <w:tcW w:type="dxa" w:w="2880"/>
          </w:tcPr>
          <w:p>
            <w:r>
              <w:t>Not checked</w:t>
            </w:r>
          </w:p>
        </w:tc>
        <w:tc>
          <w:tcPr>
            <w:tcW w:type="dxa" w:w="2880"/>
          </w:tcPr>
          <w:p>
            <w:r>
              <w:t>Checks alignment with FDA QMSR 2024 harmonization with ISO 13485 (PMC10676432)</w:t>
            </w:r>
          </w:p>
        </w:tc>
      </w:tr>
      <w:tr>
        <w:tc>
          <w:tcPr>
            <w:tcW w:type="dxa" w:w="2880"/>
          </w:tcPr>
          <w:p>
            <w:r>
              <w:t>Agreement Thresholds</w:t>
            </w:r>
          </w:p>
        </w:tc>
        <w:tc>
          <w:tcPr>
            <w:tcW w:type="dxa" w:w="2880"/>
          </w:tcPr>
          <w:p>
            <w:r>
              <w:t>Qualitative description only</w:t>
            </w:r>
          </w:p>
        </w:tc>
        <w:tc>
          <w:tcPr>
            <w:tcW w:type="dxa" w:w="2880"/>
          </w:tcPr>
          <w:p>
            <w:r>
              <w:t>Quantified: &gt; 85% = insufficient challenge; &lt; 30% = too strict</w:t>
            </w:r>
          </w:p>
        </w:tc>
      </w:tr>
      <w:tr>
        <w:tc>
          <w:tcPr>
            <w:tcW w:type="dxa" w:w="2880"/>
          </w:tcPr>
          <w:p>
            <w:r>
              <w:t>Overfitting Definition</w:t>
            </w:r>
          </w:p>
        </w:tc>
        <w:tc>
          <w:tcPr>
            <w:tcW w:type="dxa" w:w="2880"/>
          </w:tcPr>
          <w:p>
            <w:r>
              <w:t>'Repeated question or answer patterns'</w:t>
            </w:r>
          </w:p>
        </w:tc>
        <w:tc>
          <w:tcPr>
            <w:tcW w:type="dxa" w:w="2880"/>
          </w:tcPr>
          <w:p>
            <w:r>
              <w:t>Extended: detect AI 'performing compliance' vs genuinely analyzing document content</w:t>
            </w:r>
          </w:p>
        </w:tc>
      </w:tr>
      <w:tr>
        <w:tc>
          <w:tcPr>
            <w:tcW w:type="dxa" w:w="2880"/>
          </w:tcPr>
          <w:p>
            <w:r>
              <w:t>findings.category values</w:t>
            </w:r>
          </w:p>
        </w:tc>
        <w:tc>
          <w:tcPr>
            <w:tcW w:type="dxa" w:w="2880"/>
          </w:tcPr>
          <w:p>
            <w:r>
              <w:t>6 values</w:t>
            </w:r>
          </w:p>
        </w:tc>
        <w:tc>
          <w:tcPr>
            <w:tcW w:type="dxa" w:w="2880"/>
          </w:tcPr>
          <w:p>
            <w:r>
              <w:t>8 values: adds hallucination_risk | regulatory_alignment</w:t>
            </w:r>
          </w:p>
        </w:tc>
      </w:tr>
    </w:tbl>
    <w:p>
      <w:pPr>
        <w:pStyle w:val="Heading2"/>
      </w:pPr>
      <w:r>
        <w:t>7. Documents Synced to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DEEP_TEST_REPORT.md</w:t>
            </w:r>
          </w:p>
        </w:tc>
        <w:tc>
          <w:tcPr>
            <w:tcW w:type="dxa" w:w="4320"/>
          </w:tcPr>
          <w:p>
            <w:r>
              <w:t>System deep test report</w:t>
            </w:r>
          </w:p>
        </w:tc>
      </w:tr>
      <w:tr>
        <w:tc>
          <w:tcPr>
            <w:tcW w:type="dxa" w:w="4320"/>
          </w:tcPr>
          <w:p>
            <w:r>
              <w:t>MDSAP_Complete_Document_Registry.md</w:t>
            </w:r>
          </w:p>
        </w:tc>
        <w:tc>
          <w:tcPr>
            <w:tcW w:type="dxa" w:w="4320"/>
          </w:tcPr>
          <w:p>
            <w:r>
              <w:t>MDSAP complete document registry</w:t>
            </w:r>
          </w:p>
        </w:tc>
      </w:tr>
      <w:tr>
        <w:tc>
          <w:tcPr>
            <w:tcW w:type="dxa" w:w="4320"/>
          </w:tcPr>
          <w:p>
            <w:r>
              <w:t>bug_analysis_report.md</w:t>
            </w:r>
          </w:p>
        </w:tc>
        <w:tc>
          <w:tcPr>
            <w:tcW w:type="dxa" w:w="4320"/>
          </w:tcPr>
          <w:p>
            <w:r>
              <w:t>Bug analysis report</w:t>
            </w:r>
          </w:p>
        </w:tc>
      </w:tr>
      <w:tr>
        <w:tc>
          <w:tcPr>
            <w:tcW w:type="dxa" w:w="4320"/>
          </w:tcPr>
          <w:p>
            <w:r>
              <w:t>presentation/Speaker-Notes.md</w:t>
            </w:r>
          </w:p>
        </w:tc>
        <w:tc>
          <w:tcPr>
            <w:tcW w:type="dxa" w:w="4320"/>
          </w:tcPr>
          <w:p>
            <w:r>
              <w:t>Presentation speaker notes (Markdown)</w:t>
            </w:r>
          </w:p>
        </w:tc>
      </w:tr>
      <w:tr>
        <w:tc>
          <w:tcPr>
            <w:tcW w:type="dxa" w:w="4320"/>
          </w:tcPr>
          <w:p>
            <w:r>
              <w:t>presentation/Speaker-Notes.docx</w:t>
            </w:r>
          </w:p>
        </w:tc>
        <w:tc>
          <w:tcPr>
            <w:tcW w:type="dxa" w:w="4320"/>
          </w:tcPr>
          <w:p>
            <w:r>
              <w:t>Presentation speaker notes (Word)</w:t>
            </w:r>
          </w:p>
        </w:tc>
      </w:tr>
    </w:tbl>
    <w:p>
      <w:pPr>
        <w:pStyle w:val="Heading2"/>
      </w:pPr>
      <w:r>
        <w:t>8. Design Principles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Principle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Research Basis</w:t>
            </w:r>
          </w:p>
        </w:tc>
      </w:tr>
      <w:tr>
        <w:tc>
          <w:tcPr>
            <w:tcW w:type="dxa" w:w="2880"/>
          </w:tcPr>
          <w:p>
            <w:r>
              <w:t>Persona grounding over generic expertise</w:t>
            </w:r>
          </w:p>
        </w:tc>
        <w:tc>
          <w:tcPr>
            <w:tcW w:type="dxa" w:w="2880"/>
          </w:tcPr>
          <w:p>
            <w:r>
              <w:t>Jurisdiction-specific, audit-credential role definitions produce more legally accurate outputs than generic 'expert' labels</w:t>
            </w:r>
          </w:p>
        </w:tc>
        <w:tc>
          <w:tcPr>
            <w:tcW w:type="dxa" w:w="2880"/>
          </w:tcPr>
          <w:p>
            <w:r>
              <w:t>arXiv:2505.18695</w:t>
            </w:r>
          </w:p>
        </w:tc>
      </w:tr>
      <w:tr>
        <w:tc>
          <w:tcPr>
            <w:tcW w:type="dxa" w:w="2880"/>
          </w:tcPr>
          <w:p>
            <w:r>
              <w:t>Evidence-first, not plausibility-first</w:t>
            </w:r>
          </w:p>
        </w:tc>
        <w:tc>
          <w:tcPr>
            <w:tcW w:type="dxa" w:w="2880"/>
          </w:tcPr>
          <w:p>
            <w:r>
              <w:t>All prompts explicitly distinguish between language that sounds compliant and language that substantively meets regulatory requirements</w:t>
            </w:r>
          </w:p>
        </w:tc>
        <w:tc>
          <w:tcPr>
            <w:tcW w:type="dxa" w:w="2880"/>
          </w:tcPr>
          <w:p>
            <w:r>
              <w:t>PMC11419185, arXiv:2506.18511</w:t>
            </w:r>
          </w:p>
        </w:tc>
      </w:tr>
      <w:tr>
        <w:tc>
          <w:tcPr>
            <w:tcW w:type="dxa" w:w="2880"/>
          </w:tcPr>
          <w:p>
            <w:r>
              <w:t>Structured output with calibrated uncertainty</w:t>
            </w:r>
          </w:p>
        </w:tc>
        <w:tc>
          <w:tcPr>
            <w:tcW w:type="dxa" w:w="2880"/>
          </w:tcPr>
          <w:p>
            <w:r>
              <w:t>Confidence scores are tied to explicit evidence quality criteria, reducing overconfident outputs when regulatory text is sparse</w:t>
            </w:r>
          </w:p>
        </w:tc>
        <w:tc>
          <w:tcPr>
            <w:tcW w:type="dxa" w:w="2880"/>
          </w:tcPr>
          <w:p>
            <w:r>
              <w:t>arXiv:2506.18511, PMC11996894</w:t>
            </w:r>
          </w:p>
        </w:tc>
      </w:tr>
    </w:tbl>
    <w:p>
      <w:r>
        <w:t xml:space="preserve"> </w:t>
      </w:r>
    </w:p>
    <w:p>
      <w:r>
        <w:rPr>
          <w:i/>
          <w:color w:val="595959"/>
        </w:rPr>
        <w:t>Version: v3.7.0  |  Date: 2026-04-09  |  Author: AI-QMS Development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AI-QMS v3.7.0 Update Notes</dc:title>
  <dc:subject/>
  <dc:creator>AI-QMS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