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40" w:before="720"/>
        <w:jc w:val="center"/>
      </w:pPr>
      <w:r>
        <w:rPr>
          <w:rFonts w:ascii="Arial" w:cs="Arial" w:eastAsia="Arial" w:hAnsi="Arial"/>
          <w:b/>
          <w:bCs/>
          <w:color w:val="1F4E79"/>
          <w:sz w:val="52"/>
          <w:szCs w:val="52"/>
        </w:rPr>
        <w:t xml:space="preserve">Data Center On-Site Power Scenarios</w:t>
      </w:r>
    </w:p>
    <w:p>
      <w:pPr>
        <w:spacing w:after="240" w:before="0"/>
        <w:jc w:val="center"/>
      </w:pPr>
      <w:r>
        <w:rPr>
          <w:rFonts w:ascii="Arial" w:cs="Arial" w:eastAsia="Arial" w:hAnsi="Arial"/>
          <w:color w:val="505050"/>
          <w:sz w:val="28"/>
          <w:szCs w:val="28"/>
        </w:rPr>
        <w:t xml:space="preserve">Tracked Demand Module — Illustrative Scenario Design</w:t>
      </w:r>
    </w:p>
    <w:p>
      <w:pPr>
        <w:spacing w:after="720" w:before="0"/>
        <w:jc w:val="center"/>
      </w:pPr>
      <w:r>
        <w:rPr>
          <w:rFonts w:ascii="Arial" w:cs="Arial" w:eastAsia="Arial" w:hAnsi="Arial"/>
          <w:color w:val="707070"/>
          <w:sz w:val="22"/>
          <w:szCs w:val="22"/>
        </w:rPr>
        <w:t xml:space="preserve">Switch-USA-PG-ReEDS | Model Year: 2035 (2030 sensitivity)</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 Purpose and Scope</w:t>
      </w:r>
    </w:p>
    <w:p>
      <w:pPr>
        <w:spacing w:after="60" w:before="60"/>
      </w:pPr>
      <w:r>
        <w:rPr>
          <w:rFonts w:ascii="Arial" w:cs="Arial" w:eastAsia="Arial" w:hAnsi="Arial"/>
          <w:sz w:val="20"/>
          <w:szCs w:val="20"/>
        </w:rPr>
        <w:t xml:space="preserve">This document specifies illustrative data center on-site power scenarios designed to test and validate the tracked demand module within Switch-USA-PG-ReEDS. The scenarios are structured to stress-test how a large constrained-grid data center (DC) would self-provision power across six US jurisdictions, and to quantify the system cost and emissions consequences of that DC's presence.</w:t>
      </w:r>
    </w:p>
    <w:p>
      <w:pPr>
        <w:spacing w:after="60" w:before="60"/>
      </w:pPr>
      <w:r>
        <w:t xml:space="preserve"/>
      </w:r>
    </w:p>
    <w:p>
      <w:pPr>
        <w:spacing w:after="60" w:before="60"/>
      </w:pPr>
      <w:r>
        <w:rPr>
          <w:rFonts w:ascii="Arial" w:cs="Arial" w:eastAsia="Arial" w:hAnsi="Arial"/>
          <w:sz w:val="20"/>
          <w:szCs w:val="20"/>
        </w:rPr>
        <w:t xml:space="preserve">Two primary scenario families are defined:</w:t>
      </w:r>
    </w:p>
    <w:p>
      <w:pPr>
        <w:pStyle w:val="ListParagraph"/>
        <w:numPr>
          <w:ilvl w:val="0"/>
          <w:numId w:val="2"/>
        </w:numPr>
        <w:spacing w:after="40" w:before="40"/>
      </w:pPr>
      <w:r>
        <w:rPr>
          <w:rFonts w:ascii="Arial" w:cs="Arial" w:eastAsia="Arial" w:hAnsi="Arial"/>
          <w:sz w:val="20"/>
          <w:szCs w:val="20"/>
        </w:rPr>
        <w:t xml:space="preserve">Severe grid constraint (SC): 1 GW data center with 250 MW grid connection</w:t>
      </w:r>
    </w:p>
    <w:p>
      <w:pPr>
        <w:pStyle w:val="ListParagraph"/>
        <w:numPr>
          <w:ilvl w:val="0"/>
          <w:numId w:val="2"/>
        </w:numPr>
        <w:spacing w:after="40" w:before="40"/>
      </w:pPr>
      <w:r>
        <w:rPr>
          <w:rFonts w:ascii="Arial" w:cs="Arial" w:eastAsia="Arial" w:hAnsi="Arial"/>
          <w:sz w:val="20"/>
          <w:szCs w:val="20"/>
        </w:rPr>
        <w:t xml:space="preserve">Mild grid constraint (MC): 1 GW data center with 900 MW grid connection</w:t>
      </w:r>
    </w:p>
    <w:p>
      <w:pPr>
        <w:spacing w:after="60" w:before="60"/>
      </w:pPr>
      <w:r>
        <w:rPr>
          <w:rFonts w:ascii="Arial" w:cs="Arial" w:eastAsia="Arial" w:hAnsi="Arial"/>
          <w:sz w:val="20"/>
          <w:szCs w:val="20"/>
        </w:rPr>
        <w:t xml:space="preserve">Each is tested across six jurisdictions and a curtailment variant. Future scenario extensions are catalogued in Section 7.</w:t>
      </w:r>
    </w:p>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2. Scenario Matrix</w:t>
      </w:r>
    </w:p>
    <w:p>
      <w:pPr>
        <w:pStyle w:val="Heading2"/>
        <w:spacing w:after="120" w:before="240"/>
      </w:pPr>
      <w:r>
        <w:rPr>
          <w:rFonts w:ascii="Arial" w:cs="Arial" w:eastAsia="Arial" w:hAnsi="Arial"/>
          <w:b/>
          <w:bCs/>
          <w:color w:val="2E75B6"/>
          <w:sz w:val="26"/>
          <w:szCs w:val="26"/>
        </w:rPr>
        <w:t xml:space="preserve">2.1 Core Scenario Families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200"/>
        <w:gridCol w:w="2100"/>
        <w:gridCol w:w="15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Scenario ID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Label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DC Load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Grid Cap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Jurisdictions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Curtailment</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SC-[XX]</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Severe Constraint</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1,000 MW (flat)</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250 MW</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TX, CO, AZ, CA, VA, GA</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Mild Constraint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MW (flat)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900 MW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TX, CO, AZ, CA, VA, GA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SC-[XX]-CURT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Severe + Curtailment</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1,000 MW (flat)</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250 MW</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TX, CO, AZ, CA, VA, GA</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MC-[XX]-CURT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Mild + Curtailment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MW (flat)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900 MW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TX, CO, AZ, CA, VA, GA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BASE-[XX]</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 DC (Baseline)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TX, CO, AZ, CA, VA, GA</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w:t>
            </w:r>
          </w:p>
        </w:tc>
      </w:tr>
    </w:tbl>
    <w:p>
      <w:pPr>
        <w:spacing w:after="60" w:before="60"/>
      </w:pPr>
      <w:r>
        <w:t xml:space="preserve"/>
      </w:r>
    </w:p>
    <w:p>
      <w:pPr>
        <w:spacing w:after="60" w:before="60"/>
      </w:pPr>
      <w:r>
        <w:rPr>
          <w:rFonts w:ascii="Arial" w:cs="Arial" w:eastAsia="Arial" w:hAnsi="Arial"/>
          <w:i/>
          <w:iCs/>
          <w:sz w:val="20"/>
          <w:szCs w:val="20"/>
        </w:rPr>
        <w:t xml:space="preserve">Where [XX] is the two-letter jurisdiction code: TX, CO, AZ, CA, VA, GA.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Jurisdiction Policy Context (2035 Primary)</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700"/>
        <w:gridCol w:w="22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Jurisdiction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Market Structure</w:t>
            </w:r>
          </w:p>
        </w:tc>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Key Policy Assumptions</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Notable Modeling Considerations</w:t>
            </w:r>
          </w:p>
        </w:tc>
      </w:tr>
      <w:tr>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TX</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ERCOT energy-only</w:t>
            </w:r>
          </w:p>
        </w:tc>
        <w:tc>
          <w:tcPr>
            <w:tcW w:type="dxa" w:w="2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 federal CES; IRA PTCs/ITCs in place; no capacity market</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High LMP volatility; strong on-site solar/storage economics; no capacity obligation on DC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WECC/ROWE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ROWE in early implementation by 2030/2035; IRA incentives; current state RPS only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ROWE market depth assumed partial; transmission access improving but not fully liquid</w:t>
            </w:r>
          </w:p>
        </w:tc>
      </w:tr>
      <w:tr>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AZ</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WECC (APS/SRP territory)</w:t>
            </w:r>
          </w:p>
        </w:tc>
        <w:tc>
          <w:tcPr>
            <w:tcW w:type="dxa" w:w="2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IRA PTCs/ITCs; no state clean energy mandate beyond current law; vertically integrated IOUs</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Limited competitive market; on-site economics heavily solar-driven; strong irradiance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CAISO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CPUC IRP trajectory; existing RPS compliance; no additional policy beyond enacted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Clean average grid but variable marginal emissions; interconnection queue congested</w:t>
            </w:r>
          </w:p>
        </w:tc>
      </w:tr>
      <w:tr>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PJM</w:t>
            </w:r>
          </w:p>
        </w:tc>
        <w:tc>
          <w:tcPr>
            <w:tcW w:type="dxa" w:w="2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VCEA targets as enacted; PJM capacity market obligations apply to DC load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Capacity market cost adder on grid draw; potential DC capacity obligation to model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Southeast (Georgia Power IRP)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Vertically integrated IOU; no competitive market; IRP-driven resource additions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On-site builds compete with GP IRP; coal/gas still on margin in near term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Model Year Note</w:t>
            </w:r>
          </w:p>
          <w:p>
            <w:pPr>
              <w:spacing w:after="0"/>
            </w:pPr>
            <w:r>
              <w:rPr>
                <w:rFonts w:ascii="Arial" w:cs="Arial" w:eastAsia="Arial" w:hAnsi="Arial"/>
                <w:i/>
                <w:iCs/>
                <w:sz w:val="18"/>
                <w:szCs w:val="18"/>
              </w:rPr>
              <w:t xml:space="preserve">Primary model year is 2035. A 2030 sensitivity run is recommended for TX and CO where market structure assumptions are most uncertain. All policy assumptions reflect current enacted law — no aspirational targets are included.</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3. Scenario Design Decisions</w:t>
      </w:r>
    </w:p>
    <w:p>
      <w:pPr>
        <w:pStyle w:val="Heading2"/>
        <w:spacing w:after="120" w:before="240"/>
      </w:pPr>
      <w:r>
        <w:rPr>
          <w:rFonts w:ascii="Arial" w:cs="Arial" w:eastAsia="Arial" w:hAnsi="Arial"/>
          <w:b/>
          <w:bCs/>
          <w:color w:val="2E75B6"/>
          <w:sz w:val="26"/>
          <w:szCs w:val="26"/>
        </w:rPr>
        <w:t xml:space="preserve">3.1 Grid Connection Constraint</w:t>
      </w:r>
    </w:p>
    <w:p>
      <w:pPr>
        <w:pStyle w:val="ListParagraph"/>
        <w:numPr>
          <w:ilvl w:val="0"/>
          <w:numId w:val="2"/>
        </w:numPr>
        <w:spacing w:after="40" w:before="40"/>
      </w:pPr>
      <w:r>
        <w:rPr>
          <w:rFonts w:ascii="Arial" w:cs="Arial" w:eastAsia="Arial" w:hAnsi="Arial"/>
          <w:b/>
          <w:bCs/>
          <w:sz w:val="20"/>
          <w:szCs w:val="20"/>
        </w:rPr>
        <w:t xml:space="preserve">Type: </w:t>
      </w:r>
      <w:r>
        <w:rPr>
          <w:rFonts w:ascii="Arial" w:cs="Arial" w:eastAsia="Arial" w:hAnsi="Arial"/>
          <w:sz w:val="20"/>
          <w:szCs w:val="20"/>
        </w:rPr>
        <w:t xml:space="preserve">Constraint type:</w:t>
      </w:r>
    </w:p>
    <w:p>
      <w:pPr>
        <w:pStyle w:val="ListParagraph"/>
        <w:numPr>
          <w:ilvl w:val="1"/>
          <w:numId w:val="3"/>
        </w:numPr>
        <w:spacing w:after="30" w:before="30"/>
      </w:pPr>
      <w:r>
        <w:rPr>
          <w:rFonts w:ascii="Arial" w:cs="Arial" w:eastAsia="Arial" w:hAnsi="Arial"/>
          <w:sz w:val="20"/>
          <w:szCs w:val="20"/>
        </w:rPr>
        <w:t xml:space="preserve">Penalty-based soft cap. The DC may exceed the grid connection limit but incurs a penalty cost per MWh above the cap.</w:t>
      </w:r>
    </w:p>
    <w:p>
      <w:pPr>
        <w:pStyle w:val="ListParagraph"/>
        <w:numPr>
          <w:ilvl w:val="0"/>
          <w:numId w:val="2"/>
        </w:numPr>
        <w:spacing w:after="40" w:before="40"/>
      </w:pPr>
      <w:r>
        <w:rPr>
          <w:rFonts w:ascii="Arial" w:cs="Arial" w:eastAsia="Arial" w:hAnsi="Arial"/>
          <w:b/>
          <w:bCs/>
          <w:sz w:val="20"/>
          <w:szCs w:val="20"/>
        </w:rPr>
        <w:t xml:space="preserve">Directionality: </w:t>
      </w:r>
      <w:r>
        <w:rPr>
          <w:rFonts w:ascii="Arial" w:cs="Arial" w:eastAsia="Arial" w:hAnsi="Arial"/>
          <w:sz w:val="20"/>
          <w:szCs w:val="20"/>
        </w:rPr>
        <w:t xml:space="preserve">Flow direction:</w:t>
      </w:r>
    </w:p>
    <w:p>
      <w:pPr>
        <w:pStyle w:val="ListParagraph"/>
        <w:numPr>
          <w:ilvl w:val="1"/>
          <w:numId w:val="3"/>
        </w:numPr>
        <w:spacing w:after="30" w:before="30"/>
      </w:pPr>
      <w:r>
        <w:rPr>
          <w:rFonts w:ascii="Arial" w:cs="Arial" w:eastAsia="Arial" w:hAnsi="Arial"/>
          <w:sz w:val="20"/>
          <w:szCs w:val="20"/>
        </w:rPr>
        <w:t xml:space="preserve">Unidirectional import only. No grid export is permitted in any scenario.</w:t>
      </w:r>
    </w:p>
    <w:p>
      <w:pPr>
        <w:pStyle w:val="ListParagraph"/>
        <w:numPr>
          <w:ilvl w:val="0"/>
          <w:numId w:val="2"/>
        </w:numPr>
        <w:spacing w:after="40" w:before="40"/>
      </w:pPr>
      <w:r>
        <w:rPr>
          <w:rFonts w:ascii="Arial" w:cs="Arial" w:eastAsia="Arial" w:hAnsi="Arial"/>
          <w:b/>
          <w:bCs/>
          <w:sz w:val="20"/>
          <w:szCs w:val="20"/>
        </w:rPr>
        <w:t xml:space="preserve">Penalty: </w:t>
      </w:r>
      <w:r>
        <w:rPr>
          <w:rFonts w:ascii="Arial" w:cs="Arial" w:eastAsia="Arial" w:hAnsi="Arial"/>
          <w:sz w:val="20"/>
          <w:szCs w:val="20"/>
        </w:rPr>
        <w:t xml:space="preserve">Penalty value:</w:t>
      </w:r>
    </w:p>
    <w:p>
      <w:pPr>
        <w:pStyle w:val="ListParagraph"/>
        <w:numPr>
          <w:ilvl w:val="1"/>
          <w:numId w:val="3"/>
        </w:numPr>
        <w:spacing w:after="30" w:before="30"/>
      </w:pPr>
      <w:r>
        <w:rPr>
          <w:rFonts w:ascii="Arial" w:cs="Arial" w:eastAsia="Arial" w:hAnsi="Arial"/>
          <w:sz w:val="20"/>
          <w:szCs w:val="20"/>
        </w:rPr>
        <w:t xml:space="preserve">Default: $750/MWh above cap. This should be set above the expected 99th percentile nodal LMP in each region to be effectively binding in most hours, while allowing the model to reveal shadow prices. Jurisdiction-specific calibration recommended as a sensitivity.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Future Extension — Bidirectional Flow</w:t>
            </w:r>
          </w:p>
          <w:p>
            <w:pPr>
              <w:spacing w:after="0"/>
            </w:pPr>
            <w:r>
              <w:rPr>
                <w:rFonts w:ascii="Arial" w:cs="Arial" w:eastAsia="Arial" w:hAnsi="Arial"/>
                <w:i/>
                <w:iCs/>
                <w:sz w:val="18"/>
                <w:szCs w:val="18"/>
              </w:rPr>
              <w:t xml:space="preserve">Allowing the DC to export surplus on-site generation back to the grid is a natural extension, particularly relevant if on-site solar or storage is sized well above DC needs. This would introduce export revenue, potential curtailment dynamics, and interconnection upgrade incentives. Reserved for a future scenario family.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On-Site Generation Technology Menu</w:t>
      </w:r>
    </w:p>
    <w:p>
      <w:pPr>
        <w:pStyle w:val="ListParagraph"/>
        <w:numPr>
          <w:ilvl w:val="0"/>
          <w:numId w:val="2"/>
        </w:numPr>
        <w:spacing w:after="40" w:before="40"/>
      </w:pPr>
      <w:r>
        <w:rPr>
          <w:rFonts w:ascii="Arial" w:cs="Arial" w:eastAsia="Arial" w:hAnsi="Arial"/>
          <w:sz w:val="20"/>
          <w:szCs w:val="20"/>
        </w:rPr>
        <w:t xml:space="preserve">The DC has access to the same technology options available to grid-connected assets in each region.</w:t>
      </w:r>
    </w:p>
    <w:p>
      <w:pPr>
        <w:pStyle w:val="ListParagraph"/>
        <w:numPr>
          <w:ilvl w:val="0"/>
          <w:numId w:val="2"/>
        </w:numPr>
        <w:spacing w:after="40" w:before="40"/>
      </w:pPr>
      <w:r>
        <w:rPr>
          <w:rFonts w:ascii="Arial" w:cs="Arial" w:eastAsia="Arial" w:hAnsi="Arial"/>
          <w:sz w:val="20"/>
          <w:szCs w:val="20"/>
        </w:rPr>
        <w:t xml:space="preserve">Costs and operating characteristics are identical to grid-connected equivalents — no technology assumption asymmetry.</w:t>
      </w:r>
    </w:p>
    <w:p>
      <w:pPr>
        <w:pStyle w:val="ListParagraph"/>
        <w:numPr>
          <w:ilvl w:val="0"/>
          <w:numId w:val="2"/>
        </w:numPr>
        <w:spacing w:after="40" w:before="40"/>
      </w:pPr>
      <w:r>
        <w:rPr>
          <w:rFonts w:ascii="Arial" w:cs="Arial" w:eastAsia="Arial" w:hAnsi="Arial"/>
          <w:sz w:val="20"/>
          <w:szCs w:val="20"/>
        </w:rPr>
        <w:t xml:space="preserve">On-site builds draw from the same regional/zonal resource potential pools as grid-scale developers (e.g., solar buildable area, wind resource class allocations).</w:t>
      </w:r>
    </w:p>
    <w:p>
      <w:pPr>
        <w:pStyle w:val="ListParagraph"/>
        <w:numPr>
          <w:ilvl w:val="0"/>
          <w:numId w:val="2"/>
        </w:numPr>
        <w:spacing w:after="40" w:before="40"/>
      </w:pPr>
      <w:r>
        <w:rPr>
          <w:rFonts w:ascii="Arial" w:cs="Arial" w:eastAsia="Arial" w:hAnsi="Arial"/>
          <w:sz w:val="20"/>
          <w:szCs w:val="20"/>
        </w:rPr>
        <w:t xml:space="preserve">No interconnection cost adder for on-site/behind-the-meter generation.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Open Assumption — Resource Pool Competition</w:t>
            </w:r>
          </w:p>
          <w:p>
            <w:pPr>
              <w:spacing w:after="0"/>
            </w:pPr>
            <w:r>
              <w:rPr>
                <w:rFonts w:ascii="Arial" w:cs="Arial" w:eastAsia="Arial" w:hAnsi="Arial"/>
                <w:i/>
                <w:iCs/>
                <w:sz w:val="18"/>
                <w:szCs w:val="18"/>
              </w:rPr>
              <w:t xml:space="preserve">Treating on-site builds as competing for the same regional resource pools means a 1 GW DC in Arizona could meaningfully tighten the regional solar resource pool. This is analytically desirable (it surfaces scarcity effects) but should be flagged in results. A sensitivity with a dedicated DC resource allocation could be run if the effect is large.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Open Assumption — SMR / Nuclear On-Site</w:t>
            </w:r>
          </w:p>
          <w:p>
            <w:pPr>
              <w:spacing w:after="0"/>
            </w:pPr>
            <w:r>
              <w:rPr>
                <w:rFonts w:ascii="Arial" w:cs="Arial" w:eastAsia="Arial" w:hAnsi="Arial"/>
                <w:i/>
                <w:iCs/>
                <w:sz w:val="18"/>
                <w:szCs w:val="18"/>
              </w:rPr>
              <w:t xml:space="preserve">If SMR is a buildable technology in the model's portfolio, it is technically available to the DC under this rule. On-site nuclear builds should be flagged in results and reviewed for realism. A cap or exclusion can be applied as a sensitivity.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Data Center Load Profile</w:t>
      </w:r>
    </w:p>
    <w:p>
      <w:pPr>
        <w:pStyle w:val="ListParagraph"/>
        <w:numPr>
          <w:ilvl w:val="0"/>
          <w:numId w:val="2"/>
        </w:numPr>
        <w:spacing w:after="40" w:before="40"/>
      </w:pPr>
      <w:r>
        <w:rPr>
          <w:rFonts w:ascii="Arial" w:cs="Arial" w:eastAsia="Arial" w:hAnsi="Arial"/>
          <w:b/>
          <w:bCs/>
          <w:sz w:val="20"/>
          <w:szCs w:val="20"/>
        </w:rPr>
        <w:t xml:space="preserve">Profile: </w:t>
      </w:r>
      <w:r>
        <w:rPr>
          <w:rFonts w:ascii="Arial" w:cs="Arial" w:eastAsia="Arial" w:hAnsi="Arial"/>
          <w:sz w:val="20"/>
          <w:szCs w:val="20"/>
        </w:rPr>
        <w:t xml:space="preserve">Load profile:</w:t>
      </w:r>
    </w:p>
    <w:p>
      <w:pPr>
        <w:pStyle w:val="ListParagraph"/>
        <w:numPr>
          <w:ilvl w:val="1"/>
          <w:numId w:val="3"/>
        </w:numPr>
        <w:spacing w:after="30" w:before="30"/>
      </w:pPr>
      <w:r>
        <w:rPr>
          <w:rFonts w:ascii="Arial" w:cs="Arial" w:eastAsia="Arial" w:hAnsi="Arial"/>
          <w:sz w:val="20"/>
          <w:szCs w:val="20"/>
        </w:rPr>
        <w:t xml:space="preserve">Flat 24/7 at 1,000 MW. No intra-day or seasonal variation in base demand.</w:t>
      </w:r>
    </w:p>
    <w:p>
      <w:pPr>
        <w:pStyle w:val="ListParagraph"/>
        <w:numPr>
          <w:ilvl w:val="0"/>
          <w:numId w:val="2"/>
        </w:numPr>
        <w:spacing w:after="40" w:before="40"/>
      </w:pPr>
      <w:r>
        <w:rPr>
          <w:rFonts w:ascii="Arial" w:cs="Arial" w:eastAsia="Arial" w:hAnsi="Arial"/>
          <w:b/>
          <w:bCs/>
          <w:sz w:val="20"/>
          <w:szCs w:val="20"/>
        </w:rPr>
        <w:t xml:space="preserve">Flexibility: </w:t>
      </w:r>
      <w:r>
        <w:rPr>
          <w:rFonts w:ascii="Arial" w:cs="Arial" w:eastAsia="Arial" w:hAnsi="Arial"/>
          <w:sz w:val="20"/>
          <w:szCs w:val="20"/>
        </w:rPr>
        <w:t xml:space="preserve">Flexibility:</w:t>
      </w:r>
    </w:p>
    <w:p>
      <w:pPr>
        <w:pStyle w:val="ListParagraph"/>
        <w:numPr>
          <w:ilvl w:val="1"/>
          <w:numId w:val="3"/>
        </w:numPr>
        <w:spacing w:after="30" w:before="30"/>
      </w:pPr>
      <w:r>
        <w:rPr>
          <w:rFonts w:ascii="Arial" w:cs="Arial" w:eastAsia="Arial" w:hAnsi="Arial"/>
          <w:sz w:val="20"/>
          <w:szCs w:val="20"/>
        </w:rPr>
        <w:t xml:space="preserve">No demand flexibility in base scenarios. Load is treated as perfectly inelastic in all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Future Extension — Flexible/Shiftable Load</w:t>
            </w:r>
          </w:p>
          <w:p>
            <w:pPr>
              <w:spacing w:after="0"/>
            </w:pPr>
            <w:r>
              <w:rPr>
                <w:rFonts w:ascii="Arial" w:cs="Arial" w:eastAsia="Arial" w:hAnsi="Arial"/>
                <w:i/>
                <w:iCs/>
                <w:sz w:val="18"/>
                <w:szCs w:val="18"/>
              </w:rPr>
              <w:t xml:space="preserve">A fraction of DC compute load can realistically be deferred within a day or across days (so-called 'temporal load shifting'). This is particularly consequential for curtailment scenarios where the DC might arbitrage curtailment obligations against deferrable workloads. Reserved for a future scenario family alongside curtailment variants.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3.4 Curtailment Design</w:t>
      </w:r>
    </w:p>
    <w:p>
      <w:pPr>
        <w:pStyle w:val="ListParagraph"/>
        <w:numPr>
          <w:ilvl w:val="0"/>
          <w:numId w:val="2"/>
        </w:numPr>
        <w:spacing w:after="40" w:before="40"/>
      </w:pPr>
      <w:r>
        <w:rPr>
          <w:rFonts w:ascii="Arial" w:cs="Arial" w:eastAsia="Arial" w:hAnsi="Arial"/>
          <w:b/>
          <w:bCs/>
          <w:sz w:val="20"/>
          <w:szCs w:val="20"/>
        </w:rPr>
        <w:t xml:space="preserve">Current: </w:t>
      </w:r>
      <w:r>
        <w:rPr>
          <w:rFonts w:ascii="Arial" w:cs="Arial" w:eastAsia="Arial" w:hAnsi="Arial"/>
          <w:sz w:val="20"/>
          <w:szCs w:val="20"/>
        </w:rPr>
        <w:t xml:space="preserve">Base curtailment implementation:</w:t>
      </w:r>
    </w:p>
    <w:p>
      <w:pPr>
        <w:pStyle w:val="ListParagraph"/>
        <w:numPr>
          <w:ilvl w:val="1"/>
          <w:numId w:val="3"/>
        </w:numPr>
        <w:spacing w:after="30" w:before="30"/>
      </w:pPr>
      <w:r>
        <w:rPr>
          <w:rFonts w:ascii="Arial" w:cs="Arial" w:eastAsia="Arial" w:hAnsi="Arial"/>
          <w:sz w:val="20"/>
          <w:szCs w:val="20"/>
        </w:rPr>
        <w:t xml:space="preserve">Exogenous load reduction applied to the tracked demand profile in specified hours. DC demand is forced down to the grid connection cap (250 MW or 900 MW) as the floor in curtailment hours. No compensation is paid to the DC for curtailment (pure obligation).</w:t>
      </w:r>
    </w:p>
    <w:p>
      <w:pPr>
        <w:pStyle w:val="ListParagraph"/>
        <w:numPr>
          <w:ilvl w:val="0"/>
          <w:numId w:val="2"/>
        </w:numPr>
        <w:spacing w:after="40" w:before="40"/>
      </w:pPr>
      <w:r>
        <w:rPr>
          <w:rFonts w:ascii="Arial" w:cs="Arial" w:eastAsia="Arial" w:hAnsi="Arial"/>
          <w:b/>
          <w:bCs/>
          <w:sz w:val="20"/>
          <w:szCs w:val="20"/>
        </w:rPr>
        <w:t xml:space="preserve">Period: </w:t>
      </w:r>
      <w:r>
        <w:rPr>
          <w:rFonts w:ascii="Arial" w:cs="Arial" w:eastAsia="Arial" w:hAnsi="Arial"/>
          <w:sz w:val="20"/>
          <w:szCs w:val="20"/>
        </w:rPr>
        <w:t xml:space="preserve">Curtailment period:</w:t>
      </w:r>
    </w:p>
    <w:p>
      <w:pPr>
        <w:pStyle w:val="ListParagraph"/>
        <w:numPr>
          <w:ilvl w:val="1"/>
          <w:numId w:val="3"/>
        </w:numPr>
        <w:spacing w:after="30" w:before="30"/>
      </w:pPr>
      <w:r>
        <w:rPr>
          <w:rFonts w:ascii="Arial" w:cs="Arial" w:eastAsia="Arial" w:hAnsi="Arial"/>
          <w:sz w:val="20"/>
          <w:szCs w:val="20"/>
        </w:rPr>
        <w:t xml:space="preserve">To be specified per jurisdiction based on peak stress seasons. Default: top 200 hours of system net load per year. This assumption should be confirmed against current module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00"/>
              <w:left w:type="dxa" w:w="180"/>
              <w:bottom w:type="dxa" w:w="100"/>
              <w:right w:type="dxa" w:w="180"/>
            </w:tcMar>
          </w:tcPr>
          <w:p>
            <w:pPr>
              <w:spacing w:after="40"/>
            </w:pPr>
            <w:r>
              <w:rPr>
                <w:rFonts w:ascii="Arial" w:cs="Arial" w:eastAsia="Arial" w:hAnsi="Arial"/>
                <w:b/>
                <w:bCs/>
                <w:color w:val="2E75B6"/>
                <w:sz w:val="18"/>
                <w:szCs w:val="18"/>
              </w:rPr>
              <w:t xml:space="preserve">Future Extensions — Curtailment Types</w:t>
            </w:r>
          </w:p>
          <w:p>
            <w:pPr>
              <w:spacing w:after="0"/>
            </w:pPr>
            <w:r>
              <w:rPr>
                <w:rFonts w:ascii="Arial" w:cs="Arial" w:eastAsia="Arial" w:hAnsi="Arial"/>
                <w:i/>
                <w:iCs/>
                <w:sz w:val="18"/>
                <w:szCs w:val="18"/>
              </w:rPr>
              <w:t xml:space="preserve">Four curtailment variants are reserved for future development: (1) Calendar-based — fixed peak periods (e.g., summer afternoons); (2) Price-responsive — curtail when nodal LMP exceeds a threshold; (3) Operator-directed — treated as a DR product with activation probability; (4) Reliability-based — curtail during defined grid stress events (e.g., ERCOT scarcity). Compensated curtailment (DC receives payment) is also reserved as a future extension.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4. Emissions Accounting</w:t>
      </w:r>
    </w:p>
    <w:p>
      <w:pPr>
        <w:spacing w:after="60" w:before="60"/>
      </w:pPr>
      <w:r>
        <w:rPr>
          <w:rFonts w:ascii="Arial" w:cs="Arial" w:eastAsia="Arial" w:hAnsi="Arial"/>
          <w:sz w:val="20"/>
          <w:szCs w:val="20"/>
        </w:rPr>
        <w:t xml:space="preserve">Both marginal and average emissions attribution methods are applied in all scenarios. The gap between the two methods is itself a key output, particularly in jurisdictions with clean average grids but high marginal emissions in certain hours (e.g., CA, CO).</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Emissions Component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Attribution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Method</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Grid draw above connection cap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DC-attributed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Marginal + Average</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Penalized MWh still attributed to 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Grid draw within connection cap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DC-attributed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Marginal + Average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Hour-by-hour marginal displacement/induction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On-site fossil generation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DC-attributed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Direct combustion emissions</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Added to DC total footprint; not netted against on-site renewables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On-site renewable generation (solar, wind)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direct emissions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System-wide emissions impact captured via resource pool competition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System-wide emissions delta (with vs. without DC)</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Grid-attributed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Total system comparison</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Captures induced build, retirement effects beyond DC direct draw</w:t>
            </w:r>
          </w:p>
        </w:tc>
      </w:tr>
    </w:tbl>
    <w:p>
      <w:pPr>
        <w:spacing w:after="60" w:before="60"/>
      </w:pPr>
      <w:r>
        <w:t xml:space="preserve"/>
      </w:r>
    </w:p>
    <w:p>
      <w:pPr>
        <w:spacing w:after="60" w:before="60"/>
      </w:pPr>
      <w:r>
        <w:rPr>
          <w:rFonts w:ascii="Arial" w:cs="Arial" w:eastAsia="Arial" w:hAnsi="Arial"/>
          <w:sz w:val="20"/>
          <w:szCs w:val="20"/>
        </w:rPr>
        <w:t xml:space="preserve">Key emissions outputs to track per scenario:</w:t>
      </w:r>
    </w:p>
    <w:p>
      <w:pPr>
        <w:pStyle w:val="ListParagraph"/>
        <w:numPr>
          <w:ilvl w:val="0"/>
          <w:numId w:val="2"/>
        </w:numPr>
        <w:spacing w:after="40" w:before="40"/>
      </w:pPr>
      <w:r>
        <w:rPr>
          <w:rFonts w:ascii="Arial" w:cs="Arial" w:eastAsia="Arial" w:hAnsi="Arial"/>
          <w:sz w:val="20"/>
          <w:szCs w:val="20"/>
        </w:rPr>
        <w:t xml:space="preserve">Annual DC-attributed emissions (tonnes CO2e) — marginal and average</w:t>
      </w:r>
    </w:p>
    <w:p>
      <w:pPr>
        <w:pStyle w:val="ListParagraph"/>
        <w:numPr>
          <w:ilvl w:val="0"/>
          <w:numId w:val="2"/>
        </w:numPr>
        <w:spacing w:after="40" w:before="40"/>
      </w:pPr>
      <w:r>
        <w:rPr>
          <w:rFonts w:ascii="Arial" w:cs="Arial" w:eastAsia="Arial" w:hAnsi="Arial"/>
          <w:sz w:val="20"/>
          <w:szCs w:val="20"/>
        </w:rPr>
        <w:t xml:space="preserve">Hourly marginal emissions profile — aggregated to seasonal and diurnal averages</w:t>
      </w:r>
    </w:p>
    <w:p>
      <w:pPr>
        <w:pStyle w:val="ListParagraph"/>
        <w:numPr>
          <w:ilvl w:val="0"/>
          <w:numId w:val="2"/>
        </w:numPr>
        <w:spacing w:after="40" w:before="40"/>
      </w:pPr>
      <w:r>
        <w:rPr>
          <w:rFonts w:ascii="Arial" w:cs="Arial" w:eastAsia="Arial" w:hAnsi="Arial"/>
          <w:sz w:val="20"/>
          <w:szCs w:val="20"/>
        </w:rPr>
        <w:t xml:space="preserve">System-wide emissions delta (DC present vs. baseline)</w:t>
      </w:r>
    </w:p>
    <w:p>
      <w:pPr>
        <w:pStyle w:val="ListParagraph"/>
        <w:numPr>
          <w:ilvl w:val="0"/>
          <w:numId w:val="2"/>
        </w:numPr>
        <w:spacing w:after="40" w:before="40"/>
      </w:pPr>
      <w:r>
        <w:rPr>
          <w:rFonts w:ascii="Arial" w:cs="Arial" w:eastAsia="Arial" w:hAnsi="Arial"/>
          <w:sz w:val="20"/>
          <w:szCs w:val="20"/>
        </w:rPr>
        <w:t xml:space="preserve">On-site fossil generation share and associated direct emissions</w:t>
      </w:r>
    </w:p>
    <w:p>
      <w:pPr>
        <w:pStyle w:val="ListParagraph"/>
        <w:numPr>
          <w:ilvl w:val="0"/>
          <w:numId w:val="2"/>
        </w:numPr>
        <w:spacing w:after="40" w:before="40"/>
      </w:pPr>
      <w:r>
        <w:rPr>
          <w:rFonts w:ascii="Arial" w:cs="Arial" w:eastAsia="Arial" w:hAnsi="Arial"/>
          <w:sz w:val="20"/>
          <w:szCs w:val="20"/>
        </w:rPr>
        <w:t xml:space="preserve">Marginal vs. average emissions gap — by jurisdiction and season</w:t>
      </w:r>
    </w:p>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5. Key Model Outputs</w:t>
      </w:r>
    </w:p>
    <w:p>
      <w:pPr>
        <w:pStyle w:val="Heading2"/>
        <w:spacing w:after="120" w:before="240"/>
      </w:pPr>
      <w:r>
        <w:rPr>
          <w:rFonts w:ascii="Arial" w:cs="Arial" w:eastAsia="Arial" w:hAnsi="Arial"/>
          <w:b/>
          <w:bCs/>
          <w:color w:val="2E75B6"/>
          <w:sz w:val="26"/>
          <w:szCs w:val="26"/>
        </w:rPr>
        <w:t xml:space="preserve">5.1 System Cost Outputs</w:t>
      </w:r>
    </w:p>
    <w:p>
      <w:pPr>
        <w:pStyle w:val="ListParagraph"/>
        <w:numPr>
          <w:ilvl w:val="0"/>
          <w:numId w:val="2"/>
        </w:numPr>
        <w:spacing w:after="40" w:before="40"/>
      </w:pPr>
      <w:r>
        <w:rPr>
          <w:rFonts w:ascii="Arial" w:cs="Arial" w:eastAsia="Arial" w:hAnsi="Arial"/>
          <w:sz w:val="20"/>
          <w:szCs w:val="20"/>
        </w:rPr>
        <w:t xml:space="preserve">Total system cost delta: scenario vs. jurisdiction baseline ($/year and NPV)</w:t>
      </w:r>
    </w:p>
    <w:p>
      <w:pPr>
        <w:pStyle w:val="ListParagraph"/>
        <w:numPr>
          <w:ilvl w:val="0"/>
          <w:numId w:val="2"/>
        </w:numPr>
        <w:spacing w:after="40" w:before="40"/>
      </w:pPr>
      <w:r>
        <w:rPr>
          <w:rFonts w:ascii="Arial" w:cs="Arial" w:eastAsia="Arial" w:hAnsi="Arial"/>
          <w:sz w:val="20"/>
          <w:szCs w:val="20"/>
        </w:rPr>
        <w:t xml:space="preserve">DC on-site capital investment by technology ($/MW installed)</w:t>
      </w:r>
    </w:p>
    <w:p>
      <w:pPr>
        <w:pStyle w:val="ListParagraph"/>
        <w:numPr>
          <w:ilvl w:val="0"/>
          <w:numId w:val="2"/>
        </w:numPr>
        <w:spacing w:after="40" w:before="40"/>
      </w:pPr>
      <w:r>
        <w:rPr>
          <w:rFonts w:ascii="Arial" w:cs="Arial" w:eastAsia="Arial" w:hAnsi="Arial"/>
          <w:sz w:val="20"/>
          <w:szCs w:val="20"/>
        </w:rPr>
        <w:t xml:space="preserve">Shadow price of grid connection cap — by jurisdiction, season, and hour of day</w:t>
      </w:r>
    </w:p>
    <w:p>
      <w:pPr>
        <w:pStyle w:val="ListParagraph"/>
        <w:numPr>
          <w:ilvl w:val="0"/>
          <w:numId w:val="2"/>
        </w:numPr>
        <w:spacing w:after="40" w:before="40"/>
      </w:pPr>
      <w:r>
        <w:rPr>
          <w:rFonts w:ascii="Arial" w:cs="Arial" w:eastAsia="Arial" w:hAnsi="Arial"/>
          <w:sz w:val="20"/>
          <w:szCs w:val="20"/>
        </w:rPr>
        <w:t xml:space="preserve">Frequency of binding constraint — share of hours the DC hits the cap</w:t>
      </w:r>
    </w:p>
    <w:p>
      <w:pPr>
        <w:pStyle w:val="ListParagraph"/>
        <w:numPr>
          <w:ilvl w:val="0"/>
          <w:numId w:val="2"/>
        </w:numPr>
        <w:spacing w:after="40" w:before="40"/>
      </w:pPr>
      <w:r>
        <w:rPr>
          <w:rFonts w:ascii="Arial" w:cs="Arial" w:eastAsia="Arial" w:hAnsi="Arial"/>
          <w:sz w:val="20"/>
          <w:szCs w:val="20"/>
        </w:rPr>
        <w:t xml:space="preserve">Implied willingness-to-pay for incremental grid capacity ($/MW-year of additional connection)</w:t>
      </w:r>
    </w:p>
    <w:p>
      <w:pPr>
        <w:pStyle w:val="ListParagraph"/>
        <w:numPr>
          <w:ilvl w:val="0"/>
          <w:numId w:val="2"/>
        </w:numPr>
        <w:spacing w:after="40" w:before="40"/>
      </w:pPr>
      <w:r>
        <w:rPr>
          <w:rFonts w:ascii="Arial" w:cs="Arial" w:eastAsia="Arial" w:hAnsi="Arial"/>
          <w:sz w:val="20"/>
          <w:szCs w:val="20"/>
        </w:rPr>
        <w:t xml:space="preserve">Penalty cost payments — total and per-MWh, as a share of total DC energy cost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Technology Mix Outputs</w:t>
      </w:r>
    </w:p>
    <w:p>
      <w:pPr>
        <w:pStyle w:val="ListParagraph"/>
        <w:numPr>
          <w:ilvl w:val="0"/>
          <w:numId w:val="2"/>
        </w:numPr>
        <w:spacing w:after="40" w:before="40"/>
      </w:pPr>
      <w:r>
        <w:rPr>
          <w:rFonts w:ascii="Arial" w:cs="Arial" w:eastAsia="Arial" w:hAnsi="Arial"/>
          <w:sz w:val="20"/>
          <w:szCs w:val="20"/>
        </w:rPr>
        <w:t xml:space="preserve">On-site generation portfolio by technology and jurisdiction</w:t>
      </w:r>
    </w:p>
    <w:p>
      <w:pPr>
        <w:pStyle w:val="ListParagraph"/>
        <w:numPr>
          <w:ilvl w:val="0"/>
          <w:numId w:val="2"/>
        </w:numPr>
        <w:spacing w:after="40" w:before="40"/>
      </w:pPr>
      <w:r>
        <w:rPr>
          <w:rFonts w:ascii="Arial" w:cs="Arial" w:eastAsia="Arial" w:hAnsi="Arial"/>
          <w:sz w:val="20"/>
          <w:szCs w:val="20"/>
        </w:rPr>
        <w:t xml:space="preserve">On-site storage capacity (MW/MWh) and utilization</w:t>
      </w:r>
    </w:p>
    <w:p>
      <w:pPr>
        <w:pStyle w:val="ListParagraph"/>
        <w:numPr>
          <w:ilvl w:val="0"/>
          <w:numId w:val="2"/>
        </w:numPr>
        <w:spacing w:after="40" w:before="40"/>
      </w:pPr>
      <w:r>
        <w:rPr>
          <w:rFonts w:ascii="Arial" w:cs="Arial" w:eastAsia="Arial" w:hAnsi="Arial"/>
          <w:sz w:val="20"/>
          <w:szCs w:val="20"/>
        </w:rPr>
        <w:t xml:space="preserve">Share of DC load met by: grid draw / on-site generation / storage discharge</w:t>
      </w:r>
    </w:p>
    <w:p>
      <w:pPr>
        <w:pStyle w:val="ListParagraph"/>
        <w:numPr>
          <w:ilvl w:val="0"/>
          <w:numId w:val="2"/>
        </w:numPr>
        <w:spacing w:after="40" w:before="40"/>
      </w:pPr>
      <w:r>
        <w:rPr>
          <w:rFonts w:ascii="Arial" w:cs="Arial" w:eastAsia="Arial" w:hAnsi="Arial"/>
          <w:sz w:val="20"/>
          <w:szCs w:val="20"/>
        </w:rPr>
        <w:t xml:space="preserve">Hours of battery autonomy at DC load (storage capacity / DC load)</w:t>
      </w:r>
    </w:p>
    <w:p>
      <w:pPr>
        <w:pStyle w:val="ListParagraph"/>
        <w:numPr>
          <w:ilvl w:val="0"/>
          <w:numId w:val="2"/>
        </w:numPr>
        <w:spacing w:after="40" w:before="40"/>
      </w:pPr>
      <w:r>
        <w:rPr>
          <w:rFonts w:ascii="Arial" w:cs="Arial" w:eastAsia="Arial" w:hAnsi="Arial"/>
          <w:sz w:val="20"/>
          <w:szCs w:val="20"/>
        </w:rPr>
        <w:t xml:space="preserve">Regional resource pool utilization — share of zonal potential consumed by DC on-site builds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Cross-Jurisdiction Comparisons</w:t>
      </w:r>
    </w:p>
    <w:p>
      <w:pPr>
        <w:spacing w:after="60" w:before="60"/>
      </w:pPr>
      <w:r>
        <w:rPr>
          <w:rFonts w:ascii="Arial" w:cs="Arial" w:eastAsia="Arial" w:hAnsi="Arial"/>
          <w:sz w:val="20"/>
          <w:szCs w:val="20"/>
        </w:rPr>
        <w:t xml:space="preserve">The following outputs are designed specifically to support cross-jurisdiction comparison as a core scenario output:</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7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Output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 (250 MW)</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MC (900 MW)</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Driver of Variation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Shadow price of grid cap ($/MWh)</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LMP volatility, capacity market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Optimal on-site solar capacity (MW)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Solar resource quality, land availability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Optimal storage capacity (MWh)</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Solar intermittency, grid cap binding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DC-attributed marginal emissions (tCO2e/MWh)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Marginal generator mix by region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Marginal vs. average emissions gap</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Grid cleanliness and dispatch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cost delta (M$/year)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Grid congestion, on-site build costs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Curtailment cost (if applicable)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Curtailment depth and on-site flexibility</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6. Open Assumptions Requiring Confirmation</w:t>
      </w:r>
    </w:p>
    <w:p>
      <w:pPr>
        <w:spacing w:after="60" w:before="60"/>
      </w:pPr>
      <w:r>
        <w:rPr>
          <w:rFonts w:ascii="Arial" w:cs="Arial" w:eastAsia="Arial" w:hAnsi="Arial"/>
          <w:sz w:val="20"/>
          <w:szCs w:val="20"/>
        </w:rPr>
        <w:t xml:space="preserve">The following assumptions are flagged as requiring confirmation before scenarios are finalized:</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800"/>
        <w:gridCol w:w="1160"/>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Assumption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Default Value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Where it Matters Most</w:t>
            </w:r>
          </w:p>
        </w:tc>
        <w:tc>
          <w:tcPr>
            <w:tcW w:type="dxa" w:w="1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A1</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Penalty cost value for soft grid cap</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$750/MWh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All scenarios; especially TX (high LMP volatility)</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Open — calibrate per region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Curtailment hours definition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200 net load hours/year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CURT variants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 confirm with module architecture</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A3</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On-site builds compete for same regional resource pool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Yes (shared pool)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AZ, TX (solar-heavy regions)</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Confirmed — flag in results if pool tightening is large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SMR/nuclear available to DC on-site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(consistent with technology menu rule)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jurisdictions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Flag any SMR builds in results; consider exclusion sensitivity</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A5</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 capacity market obligation on DC grid draw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Yes — DC faces PJM capacity cost on grid-connected MW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 only</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Open — confirm PJM capacity market treatment in model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 ROWE market depth assumption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implementation by 2030; fuller by 2035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 scenarios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 align with current ROWE scenario assumptions in model</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A7</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Penalty MWh emissions attribution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DC-attributed (same as in-cap grid draw)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All scenarios</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Confirm consistent with module accounting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 definition (no DC)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Regional grid without any DC load added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delta calculations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one baseline per jurisdiction or one shared baseline run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7. Future Scenario Extensions</w:t>
      </w:r>
    </w:p>
    <w:p>
      <w:pPr>
        <w:spacing w:after="60" w:before="60"/>
      </w:pPr>
      <w:r>
        <w:rPr>
          <w:rFonts w:ascii="Arial" w:cs="Arial" w:eastAsia="Arial" w:hAnsi="Arial"/>
          <w:sz w:val="20"/>
          <w:szCs w:val="20"/>
        </w:rPr>
        <w:t xml:space="preserve">The following extensions are reserved for future development and are not included in the current scenario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Extension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Bidirectional grid flow</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Allow DC to export surplus on-site generation to the grid. Introduces export revenue, curtailment dynamics, and interconnection upgrade incentives.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Flexible/shiftable DC load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a fraction of compute load as deferrable within a day or across days. Critical for realistic curtailment scenario interaction.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Calendar-based curtailment</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Forced load reduction during pre-specified peak calendar periods (e.g., summer afternoons, June–August).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Price-responsive curtailment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 curtails load when nodal LMP exceeds a defined threshold. Allows model to reveal DC demand response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Operator-directed curtailment</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DC treated as a dispatchable DR resource with stochastic activation probability.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Reliability-based curtailment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DC curtails during defined grid stress events (e.g., ERCOT scarcity conditions, PJM emergency procedures).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Compensated curtailment</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DC receives a payment for curtailment, modeled as a DR product. Tests incentive alignment.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Jurisdiction-specific penalty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Penalty cost set to region-specific P99 LMP plus margin, rather than uniform $750/MWh.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SMR/nuclear exclusion sensitivity</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Re-run scenarios excluding SMR from DC technology menu to test dependence on this technology.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Dedicated DC resource allocation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Separate resource potential pool for DC on-site builds, removing competition with grid-scale developers.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2030 model year runs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Full scenario suite re-run at 2030 to capture transition-period dynamics, especially for CO/ROWE and TX.</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Medium</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8. Implementation Notes</w:t>
      </w:r>
    </w:p>
    <w:p>
      <w:pPr>
        <w:pStyle w:val="Heading2"/>
        <w:spacing w:after="120" w:before="240"/>
      </w:pPr>
      <w:r>
        <w:rPr>
          <w:rFonts w:ascii="Arial" w:cs="Arial" w:eastAsia="Arial" w:hAnsi="Arial"/>
          <w:b/>
          <w:bCs/>
          <w:color w:val="2E75B6"/>
          <w:sz w:val="26"/>
          <w:szCs w:val="26"/>
        </w:rPr>
        <w:t xml:space="preserve">8.1 Scenario Naming Convention</w:t>
      </w:r>
    </w:p>
    <w:p>
      <w:pPr>
        <w:spacing w:after="60" w:before="60"/>
      </w:pPr>
      <w:r>
        <w:rPr>
          <w:rFonts w:ascii="Arial" w:cs="Arial" w:eastAsia="Arial" w:hAnsi="Arial"/>
          <w:sz w:val="20"/>
          <w:szCs w:val="20"/>
        </w:rPr>
        <w:t xml:space="preserve">Scenario IDs follow the pattern: [FAMILY]-[JURISDICTION]-[VARIANT]</w:t>
      </w:r>
    </w:p>
    <w:p>
      <w:pPr>
        <w:pStyle w:val="ListParagraph"/>
        <w:numPr>
          <w:ilvl w:val="0"/>
          <w:numId w:val="2"/>
        </w:numPr>
        <w:spacing w:after="40" w:before="40"/>
      </w:pPr>
      <w:r>
        <w:rPr>
          <w:rFonts w:ascii="Arial" w:cs="Arial" w:eastAsia="Arial" w:hAnsi="Arial"/>
          <w:sz w:val="20"/>
          <w:szCs w:val="20"/>
        </w:rPr>
        <w:t xml:space="preserve">SC-TX — Severe constraint, Texas</w:t>
      </w:r>
    </w:p>
    <w:p>
      <w:pPr>
        <w:pStyle w:val="ListParagraph"/>
        <w:numPr>
          <w:ilvl w:val="0"/>
          <w:numId w:val="2"/>
        </w:numPr>
        <w:spacing w:after="40" w:before="40"/>
      </w:pPr>
      <w:r>
        <w:rPr>
          <w:rFonts w:ascii="Arial" w:cs="Arial" w:eastAsia="Arial" w:hAnsi="Arial"/>
          <w:sz w:val="20"/>
          <w:szCs w:val="20"/>
        </w:rPr>
        <w:t xml:space="preserve">MC-CA — Mild constraint, California</w:t>
      </w:r>
    </w:p>
    <w:p>
      <w:pPr>
        <w:pStyle w:val="ListParagraph"/>
        <w:numPr>
          <w:ilvl w:val="0"/>
          <w:numId w:val="2"/>
        </w:numPr>
        <w:spacing w:after="40" w:before="40"/>
      </w:pPr>
      <w:r>
        <w:rPr>
          <w:rFonts w:ascii="Arial" w:cs="Arial" w:eastAsia="Arial" w:hAnsi="Arial"/>
          <w:sz w:val="20"/>
          <w:szCs w:val="20"/>
        </w:rPr>
        <w:t xml:space="preserve">SC-VA-CURT — Severe constraint, Virginia, with curtailment</w:t>
      </w:r>
    </w:p>
    <w:p>
      <w:pPr>
        <w:pStyle w:val="ListParagraph"/>
        <w:numPr>
          <w:ilvl w:val="0"/>
          <w:numId w:val="2"/>
        </w:numPr>
        <w:spacing w:after="40" w:before="40"/>
      </w:pPr>
      <w:r>
        <w:rPr>
          <w:rFonts w:ascii="Arial" w:cs="Arial" w:eastAsia="Arial" w:hAnsi="Arial"/>
          <w:sz w:val="20"/>
          <w:szCs w:val="20"/>
        </w:rPr>
        <w:t xml:space="preserve">BASE-TX — No-DC baseline, Texas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Suggested Run Order</w:t>
      </w:r>
    </w:p>
    <w:p>
      <w:pPr>
        <w:pStyle w:val="ListParagraph"/>
        <w:numPr>
          <w:ilvl w:val="0"/>
          <w:numId w:val="2"/>
        </w:numPr>
        <w:spacing w:after="40" w:before="40"/>
      </w:pPr>
      <w:r>
        <w:rPr>
          <w:rFonts w:ascii="Arial" w:cs="Arial" w:eastAsia="Arial" w:hAnsi="Arial"/>
          <w:sz w:val="20"/>
          <w:szCs w:val="20"/>
        </w:rPr>
        <w:t xml:space="preserve">Step 1: Run all six BASE-[XX] baselines first to establish clean reference points.</w:t>
      </w:r>
    </w:p>
    <w:p>
      <w:pPr>
        <w:pStyle w:val="ListParagraph"/>
        <w:numPr>
          <w:ilvl w:val="0"/>
          <w:numId w:val="2"/>
        </w:numPr>
        <w:spacing w:after="40" w:before="40"/>
      </w:pPr>
      <w:r>
        <w:rPr>
          <w:rFonts w:ascii="Arial" w:cs="Arial" w:eastAsia="Arial" w:hAnsi="Arial"/>
          <w:sz w:val="20"/>
          <w:szCs w:val="20"/>
        </w:rPr>
        <w:t xml:space="preserve">Step 2: Run SC and MC scenarios without curtailment across all six jurisdictions.</w:t>
      </w:r>
    </w:p>
    <w:p>
      <w:pPr>
        <w:pStyle w:val="ListParagraph"/>
        <w:numPr>
          <w:ilvl w:val="0"/>
          <w:numId w:val="2"/>
        </w:numPr>
        <w:spacing w:after="40" w:before="40"/>
      </w:pPr>
      <w:r>
        <w:rPr>
          <w:rFonts w:ascii="Arial" w:cs="Arial" w:eastAsia="Arial" w:hAnsi="Arial"/>
          <w:sz w:val="20"/>
          <w:szCs w:val="20"/>
        </w:rPr>
        <w:t xml:space="preserve">Step 3: Run CURT variants for SC and MC.</w:t>
      </w:r>
    </w:p>
    <w:p>
      <w:pPr>
        <w:pStyle w:val="ListParagraph"/>
        <w:numPr>
          <w:ilvl w:val="0"/>
          <w:numId w:val="2"/>
        </w:numPr>
        <w:spacing w:after="40" w:before="40"/>
      </w:pPr>
      <w:r>
        <w:rPr>
          <w:rFonts w:ascii="Arial" w:cs="Arial" w:eastAsia="Arial" w:hAnsi="Arial"/>
          <w:sz w:val="20"/>
          <w:szCs w:val="20"/>
        </w:rPr>
        <w:t xml:space="preserve">Step 4: Extract cross-jurisdiction comparison table (Section 5.3) and shadow price outputs.</w:t>
      </w:r>
    </w:p>
    <w:p>
      <w:pPr>
        <w:pStyle w:val="ListParagraph"/>
        <w:numPr>
          <w:ilvl w:val="0"/>
          <w:numId w:val="2"/>
        </w:numPr>
        <w:spacing w:after="40" w:before="40"/>
      </w:pPr>
      <w:r>
        <w:rPr>
          <w:rFonts w:ascii="Arial" w:cs="Arial" w:eastAsia="Arial" w:hAnsi="Arial"/>
          <w:sz w:val="20"/>
          <w:szCs w:val="20"/>
        </w:rPr>
        <w:t xml:space="preserve">Step 5: Flag any SMR/nuclear on-site builds and resource pool tightening events for review.</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Output Storage</w:t>
      </w:r>
    </w:p>
    <w:p>
      <w:pPr>
        <w:spacing w:after="60" w:before="60"/>
      </w:pPr>
      <w:r>
        <w:rPr>
          <w:rFonts w:ascii="Arial" w:cs="Arial" w:eastAsia="Arial" w:hAnsi="Arial"/>
          <w:sz w:val="20"/>
          <w:szCs w:val="20"/>
        </w:rPr>
        <w:t xml:space="preserve">Recommend storing outputs in structured folders consistent with the team's existing run logging framework: /outputs/dc_scenarios/[SCENARIO_ID]/ with a run_log entry per scenario execution.</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2026-05-03T22:28:46.537Z</dcterms:created>
  <dcterms:modified xsi:type="dcterms:W3CDTF">2026-05-03T22:28:46.537Z</dcterms:modified>
</cp:coreProperties>
</file>

<file path=docProps/custom.xml><?xml version="1.0" encoding="utf-8"?>
<Properties xmlns="http://schemas.openxmlformats.org/officeDocument/2006/custom-properties" xmlns:vt="http://schemas.openxmlformats.org/officeDocument/2006/docPropsVTypes"/>
</file>