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19150">
      <w:pPr>
        <w:jc w:val="center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文档正文：智云科技股份有限公司 2025 年度报告（摘要）</w:t>
      </w:r>
    </w:p>
    <w:p w14:paraId="11CF42D4">
      <w:pPr>
        <w:jc w:val="center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证券代码： 688XXX</w:t>
      </w:r>
    </w:p>
    <w:p w14:paraId="25B48BE9">
      <w:pPr>
        <w:jc w:val="center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证券简称： 智云科技</w:t>
      </w:r>
    </w:p>
    <w:p w14:paraId="1F423D38">
      <w:pPr>
        <w:jc w:val="center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报告期： 2025年1月1日 至 2025年12月31日</w:t>
      </w:r>
    </w:p>
    <w:p w14:paraId="1E45F1D8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br w:type="page"/>
      </w:r>
    </w:p>
    <w:p w14:paraId="7B2C6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第一节 致股东的一封信</w:t>
      </w:r>
    </w:p>
    <w:p w14:paraId="63517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尊敬的股东、合作伙伴及员工：</w:t>
      </w:r>
    </w:p>
    <w:p w14:paraId="68642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2025年，是智云科技在全球化征程与技术深度变革中阔步前行的一年。面对日益复杂的国际环境和持续加速的产业智能化需求，公司继续坚定执行“云智一体，全球服务”的升级战略，在核心技术自主可控与全球市场拓展两方面均取得了决定性进展。</w:t>
      </w:r>
    </w:p>
    <w:p w14:paraId="3BD05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我们成功发布了“天枢4.0”多模态行业大模型，并将其与自研的“云芯”系列芯片深度融合，形成了软硬件一体化的解决方案，进一步巩固了公司在高端制造、智慧能源等领域的护城河。通过深化“国产替代计划”，我们不仅有效缓解了全球供应链的压力，更构建了安全、可靠的算力底座，为未来的持续增长奠定了坚实基础。</w:t>
      </w:r>
    </w:p>
    <w:p w14:paraId="1E3F9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第二节 财务概况</w:t>
      </w:r>
    </w:p>
    <w:p w14:paraId="15855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报告期内，公司各项财务指标再创新高，实现了高质量的稳健增长。</w:t>
      </w:r>
    </w:p>
    <w:p w14:paraId="01BCC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营业总收入：人民币 188.5 亿元，较上年同期增长 29.8%。增长主要由“AI解决方案”及“全球云服务”两大引擎驱动。</w:t>
      </w:r>
    </w:p>
    <w:p w14:paraId="01E51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核心业务“AI解决方案”：取代原“云端智能服务平台”的统计口径，整合了软件与自研硬件，实现营收 125.1 亿元，同比增长 26.9%。</w:t>
      </w:r>
    </w:p>
    <w:p w14:paraId="533BF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“AI算力租赁及全球云服务”：营收达到 50.2 亿元，同比增长 41.8%，显示出强劲的全球市场需求。</w:t>
      </w:r>
    </w:p>
    <w:p w14:paraId="4BC3D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归属于上市公司股东的净利润：人民币 23.8 亿元，同比增长 25.9%。</w:t>
      </w:r>
    </w:p>
    <w:p w14:paraId="4ED68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扣除非经常性损益后的净利润：人民币 21.3 亿元，同比增长 29.1%，主营业务盈利能力持续增强。</w:t>
      </w:r>
    </w:p>
    <w:p w14:paraId="6129B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经营活动产生的现金流量净额：达到 30.1 亿元，同比增长 22.9%，继续保持行业领先的健康现金流水平。</w:t>
      </w:r>
    </w:p>
    <w:p w14:paraId="415E7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研发投入：本年度研发支出总额为 36.2 亿元，占营业收入的 19.2%，重点投向多模态大模型算法、AI芯片架构及量子计算的前瞻性研究。</w:t>
      </w:r>
    </w:p>
    <w:p w14:paraId="08DE2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第三节 经营情况与战略进展</w:t>
      </w:r>
    </w:p>
    <w:p w14:paraId="54872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1. 全球化布局与重大合同</w:t>
      </w:r>
    </w:p>
    <w:p w14:paraId="6262B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2025年，公司全球化战略成果显著。北美分公司在原CFO王强的带领下，成功赢得了北美顶尖电动汽车制造商Titan Auto的自动驾驶数据处理与模型训练平台订单，合同总金额高达2.2亿美元，实现了在北美市场的重大突破。同时，欧洲业务总部在德国慕尼黑落成，为深耕欧洲工业4.0市场提供本地化支持。</w:t>
      </w:r>
    </w:p>
    <w:p w14:paraId="0C987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2. 整合与协同效应</w:t>
      </w:r>
    </w:p>
    <w:p w14:paraId="0B654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自2024年收购深蓝数据以来，其技术与团队已与公司主营业务深度融合。由李明博博士领导的数据中台，不仅提升了内部数据处理效率，更孵化出“智能数据治理平台”这一新产品线，并于2025年第四季度获得了超过5000万元的外部合同。</w:t>
      </w:r>
    </w:p>
    <w:p w14:paraId="51D62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3. 技术创新与产品发布</w:t>
      </w:r>
    </w:p>
    <w:p w14:paraId="63ADD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2025年10月，公司在上海世界人工智能大会上正式发布“天枢4.0”多模态行业大模型。该模型首次集成了视觉、语言和工业时序数据处理能力，能为复杂工业场景提供更精准的预测与决策支持。同时，发布的还有“云芯三号”AI训练芯片，其单卡算力相较于二号推理芯片提升了近5倍，已成功在公司自有的数据中心完成规模化部署，大幅降低了对外部高端训练芯片的依赖。</w:t>
      </w:r>
    </w:p>
    <w:p w14:paraId="28939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第四节 公司治理与人员变动</w:t>
      </w:r>
    </w:p>
    <w:p w14:paraId="0DAA8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为支撑全球化业务体系，公司对组织架构进行了优化升级。</w:t>
      </w:r>
    </w:p>
    <w:p w14:paraId="0AAD7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设立全球业务总裁职位：为协调全球各区域市场的协同发展，董事会决议设立全球业务总裁（President of Global Business）职位，由具备丰富跨国企业管理经验的行业领袖张伟先生担任。张伟先生将直接向董事长兼CEO陈志远汇报。</w:t>
      </w:r>
    </w:p>
    <w:p w14:paraId="15A24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首席技术官（CTO）任命：为强化前沿技术布局，公司创始人之一、首席科学家刘宇博士被正式任命为公司首席技术官，全面负责公司的技术战略规划与研发体系建设。</w:t>
      </w:r>
    </w:p>
    <w:p w14:paraId="71FBE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股权激励计划：为吸引并留住全球核心人才，公司于2025年7月推出了覆盖范围更广的第二期股权激励计划，覆盖了近800名中高层管理人员及核心技术骨干。</w:t>
      </w:r>
    </w:p>
    <w:p w14:paraId="0E5CA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第五节 重要事项与风险提示</w:t>
      </w:r>
    </w:p>
    <w:p w14:paraId="2E045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1. 数据安全与合规</w:t>
      </w:r>
    </w:p>
    <w:p w14:paraId="154D2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随着全球业务的扩张，公司面临的数据安全与隐私保护法规（如欧盟GDPR）合规要求日益严格。为此，公司已成立由首席合规官领导的“全球数据合规委员会”，并投入专项资金进行全球数据中心的合规性审计与升级，以确保业务在所有运营地区均符合当地法律法规。</w:t>
      </w:r>
    </w:p>
    <w:p w14:paraId="1D34C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2. 市场竞争风险</w:t>
      </w:r>
    </w:p>
    <w:p w14:paraId="63F59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人工智能领域的市场竞争愈发激烈，国内外科技巨头均在加大投入。公司面临着在高端人才吸引、关键技术迭代以及市场份额争夺等方面的持续压力。公司将通过持续的技术创新、生态合作以及灵活的市场策略应对挑战。</w:t>
      </w:r>
    </w:p>
    <w:p w14:paraId="62825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3. 分红预案</w:t>
      </w:r>
    </w:p>
    <w:p w14:paraId="3BD19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董事会提议，基于2025年度的优异业绩和对未来发展的信心，拟定2025年度每10股派发现金红利3.2元（含税），并以资本公积金向全体股东每10股转增2股。此预案预计派发现金总额约6.8亿元，尚需提交20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26年5月召开的年度股东大会审议。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D7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2026-02-27T03:33:25Z</dcterms:created>
  <dc:creator>MT</dc:creator>
  <cp:lastModifiedBy>TM</cp:lastModifiedBy>
  <dcterms:modified xsi:type="dcterms:W3CDTF">2026-02-27T03:36:26Z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eyJoZGlkIjoiODViN2U5ODdkZDU1OGM2M2U1YzM2ODIzZjVjYmFhNGIiLCJ1c2VySWQiOiIxMzg0ODQxMjIwIn0=</vt:lpwstr>
  </property>
  <property fmtid="{D5CDD505-2E9C-101B-9397-08002B2CF9AE}" pid="4" name="ICV">
    <vt:lpwstr>51088DB486AD450C835CFDF66B01DC97_12</vt:lpwstr>
  </property>
</Properties>
</file>