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3B388">
      <w:pPr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文档正文：智云科技股份有限公司 2024 年度报告（摘要）</w:t>
      </w:r>
    </w:p>
    <w:p w14:paraId="07D4F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证券代码： 688XXX</w:t>
      </w:r>
    </w:p>
    <w:p w14:paraId="7D659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证券简称： 智云科技</w:t>
      </w:r>
    </w:p>
    <w:p w14:paraId="07CA8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报告期： 2024年1月1日 至 2024年12月31日</w:t>
      </w:r>
    </w:p>
    <w:p w14:paraId="68CFCB8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  <w:bookmarkStart w:id="0" w:name="_GoBack"/>
      <w:bookmarkEnd w:id="0"/>
    </w:p>
    <w:p w14:paraId="0761A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第一节 致股东的一封信</w:t>
      </w:r>
    </w:p>
    <w:p w14:paraId="75820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尊敬的股东、合作伙伴及员工：</w:t>
      </w:r>
    </w:p>
    <w:p w14:paraId="5FF10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2024年是智云科技（以下简称“公司”或“智云”）发展历程中具有里程碑意义的一年。面对全球宏观经济的波动与人工智能技术的爆发式增长，公司坚持“云智一体，深耕行业”的战略核心，实现了业务规模与经营质量的双重飞跃。</w:t>
      </w:r>
    </w:p>
    <w:p w14:paraId="062EB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在这一年里，我们不仅巩固了在金融科技领域的领先地位，更通过发布“天枢 3.0”工业大模型，成功切入高端制造市场。尽管面临上游算力芯片供应紧张的挑战，我们依然凭借强大的供应链管理能力和自研技术的突破，完成了既定的增长目标。</w:t>
      </w:r>
    </w:p>
    <w:p w14:paraId="253E7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第二节 财务概况</w:t>
      </w:r>
    </w:p>
    <w:p w14:paraId="4755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报告期内，公司实现营业总收入人民币 145.2 亿元，较上年同期（同比）增长 22.4%。其中，核心业务“云端智能服务平台”贡献营收 98.6 亿元，同比增长 15.6%；新增长极“AI 算力租赁服务”实现营收 35.4 亿元，同比激增 68%。</w:t>
      </w:r>
    </w:p>
    <w:p w14:paraId="782B9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归属于上市公司股东的净利润为人民币 18.9 亿元，同比增长 12.8%。扣除非经常性损益后的净利润为 16.5 亿元，同比增长 18.2%。</w:t>
      </w:r>
    </w:p>
    <w:p w14:paraId="5842A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经营活动产生的现金流量净额达到 24.5 亿元，较 2023 年提升 35%，体现了公司卓越的回款能力和健康的现金流状况。研发投入持续加大，本年度研发支出总额为 28.4 亿元，占营业收入的 19.6%，重点投向了下一代生成式 AI 算法及边缘计算节点的部署。</w:t>
      </w:r>
    </w:p>
    <w:p w14:paraId="13ED5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第三节 经营情况与战略进展</w:t>
      </w:r>
    </w:p>
    <w:p w14:paraId="3D426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市场拓展与重大合同</w:t>
      </w:r>
    </w:p>
    <w:p w14:paraId="6DED1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2024年6月，公司与长三角能源集团签署了为期五年的战略合作协议，合同总金额预计达人民币 8.5 亿元。根据协议，智云科技将为其提供全套的智慧电网调度系统。此外，公司海外业务取得突破，东南亚地区营收首次突破 10 亿元大关，主要得益于在新加坡设立的亚太研发中心正式投入运营。</w:t>
      </w:r>
    </w:p>
    <w:p w14:paraId="67832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投资与并购</w:t>
      </w:r>
    </w:p>
    <w:p w14:paraId="45E78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为了补齐在底层数据清洗领域的技术短板，公司于2024年9月完成了对深蓝数据科技有限公司（以下简称“深蓝数据”）的 100% 股权收购。本次交易对价为人民币 4.2 亿元，包含现金支付与股权置换。深蓝数据自2024年10月起纳入公司合并报表范围。其创始人李明博博士已受聘担任智云科技副总裁，负责集团数据中台的建设。</w:t>
      </w:r>
    </w:p>
    <w:p w14:paraId="0B64A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同时，公司出售了持有的绿野安防（联营企业）15% 的股权，回笼资金 1.8 亿元，以聚焦主营业务。</w:t>
      </w:r>
    </w:p>
    <w:p w14:paraId="2485E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 新产品发布</w:t>
      </w:r>
    </w:p>
    <w:p w14:paraId="162A2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2024年11月，公司在深圳年度开发者大会上发布了自研推理芯片“云芯二号”。相较于上一代产品，其能效比提升了 40%，主要用于降低私有化部署大模型的硬件成本。该芯片目前已获得华通汽车的首批预订单，用于其自动驾驶训练集群。</w:t>
      </w:r>
    </w:p>
    <w:p w14:paraId="50C29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第四节 公司治理与人员变动</w:t>
      </w:r>
    </w:p>
    <w:p w14:paraId="4DA2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报告期内，公司董事会及管理层发生了一定调整，以适应业务全球化的需求。</w:t>
      </w:r>
    </w:p>
    <w:p w14:paraId="5E57A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董事会换届： 原董事长张建国先生因年龄原因申请辞去董事长及董事职务，辞职后不再担任公司任何职务。经董事会选举，原CEO陈志远先生出任新一任董事长，并兼任首席执行官。</w:t>
      </w:r>
    </w:p>
    <w:p w14:paraId="148BA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高管聘任： 经提名委员会提名，聘任苏珊女士为公司首席财务官（CFO），接替调任至北美分公司的原CFO王强。苏珊女士此前曾担任环球信托的亚太区财务总监，拥有超过20年的跨国财务管理经验。</w:t>
      </w:r>
    </w:p>
    <w:p w14:paraId="2C360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监事会变动： 职工代表监事刘伟因个人原因离职，补选赵刚为新任职工代表监事。</w:t>
      </w:r>
    </w:p>
    <w:p w14:paraId="185A2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第五节 重要事项与风险提示</w:t>
      </w:r>
    </w:p>
    <w:p w14:paraId="78888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诉讼仲裁事项</w:t>
      </w:r>
    </w:p>
    <w:p w14:paraId="46A73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公司于2024年3月收到宏达软件发起的知识产权侵权诉讼，涉案金额 5000 万元。经过法务团队的积极应诉及多轮举证，双方于2024年12月达成庭外和解，智云科技向宏达软件支付一次性专利授权费 800 万元，并未对公司本年度利润造成重大负面影响。</w:t>
      </w:r>
    </w:p>
    <w:p w14:paraId="03182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供应链风险</w:t>
      </w:r>
    </w:p>
    <w:p w14:paraId="3E4E7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受国际地缘政治影响，高端GPU服务器的采购周期从原本的 3 个月延长至 8 个月。为此，公司已启动“国产替代计划”，并与中芯集成建立了联合实验室，旨在未来 24 个月内将核心算力硬件的国产化率提升至 60%。</w:t>
      </w:r>
    </w:p>
    <w:p w14:paraId="23D09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 分红预案</w:t>
      </w:r>
    </w:p>
    <w:p w14:paraId="4DD93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鉴于公司良好的盈利能力，董事会提议 2024 年度每 10 股派发现金红利 2.5 元（含税），预计派发总额约为 4.5 亿元。该预案尚需提交 2025 年 5 月召开的年度股东大会审议。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77D5C"/>
    <w:rsid w:val="0E2D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2026-02-17T11:02:14Z</dcterms:created>
  <dc:creator>MT</dc:creator>
  <cp:lastModifiedBy>TM</cp:lastModifiedBy>
  <dcterms:modified xsi:type="dcterms:W3CDTF">2026-02-17T11:06:54Z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eyJoZGlkIjoiODViN2U5ODdkZDU1OGM2M2U1YzM2ODIzZjVjYmFhNGIiLCJ1c2VySWQiOiIxMzg0ODQxMjIwIn0=</vt:lpwstr>
  </property>
  <property fmtid="{D5CDD505-2E9C-101B-9397-08002B2CF9AE}" pid="4" name="ICV">
    <vt:lpwstr>2738C26160904C7BB6AC41D959E884D3_12</vt:lpwstr>
  </property>
</Properties>
</file>