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81" w:rsidRPr="00282481" w:rsidRDefault="00282481" w:rsidP="00282481">
      <w:pPr>
        <w:shd w:val="clear" w:color="auto" w:fill="FFFFFF"/>
        <w:spacing w:before="240" w:after="120" w:line="324" w:lineRule="atLeast"/>
        <w:jc w:val="left"/>
        <w:outlineLvl w:val="0"/>
        <w:rPr>
          <w:rFonts w:ascii="Arial" w:eastAsia="Times New Roman" w:hAnsi="Arial" w:cs="Arial"/>
          <w:color w:val="000000"/>
          <w:kern w:val="36"/>
          <w:sz w:val="31"/>
          <w:szCs w:val="31"/>
          <w:lang w:eastAsia="en-IN"/>
        </w:rPr>
      </w:pPr>
      <w:r w:rsidRPr="00282481">
        <w:rPr>
          <w:rFonts w:ascii="Arial" w:eastAsia="Times New Roman" w:hAnsi="Arial" w:cs="Arial"/>
          <w:color w:val="000000"/>
          <w:kern w:val="36"/>
          <w:sz w:val="31"/>
          <w:szCs w:val="31"/>
          <w:lang w:eastAsia="en-IN"/>
        </w:rPr>
        <w:t>National Program of Health-Care for the Elderly in India: A Hope for Healthy Ageing</w:t>
      </w:r>
    </w:p>
    <w:p w:rsidR="00282481" w:rsidRPr="00282481" w:rsidRDefault="00282481" w:rsidP="00282481">
      <w:pPr>
        <w:shd w:val="clear" w:color="auto" w:fill="FFFFFF"/>
        <w:spacing w:after="166" w:line="393" w:lineRule="atLeast"/>
        <w:jc w:val="left"/>
        <w:rPr>
          <w:rFonts w:ascii="Arial" w:eastAsia="Times New Roman" w:hAnsi="Arial" w:cs="Arial"/>
          <w:color w:val="000000"/>
          <w:sz w:val="20"/>
          <w:szCs w:val="20"/>
          <w:lang w:eastAsia="en-IN"/>
        </w:rPr>
      </w:pPr>
      <w:hyperlink r:id="rId5" w:history="1">
        <w:proofErr w:type="spellStart"/>
        <w:r w:rsidRPr="00282481">
          <w:rPr>
            <w:rFonts w:ascii="Arial" w:eastAsia="Times New Roman" w:hAnsi="Arial" w:cs="Arial"/>
            <w:color w:val="642A8F"/>
            <w:sz w:val="20"/>
            <w:u w:val="single"/>
            <w:lang w:eastAsia="en-IN"/>
          </w:rPr>
          <w:t>Ramesh</w:t>
        </w:r>
        <w:proofErr w:type="spellEnd"/>
        <w:r w:rsidRPr="00282481">
          <w:rPr>
            <w:rFonts w:ascii="Arial" w:eastAsia="Times New Roman" w:hAnsi="Arial" w:cs="Arial"/>
            <w:color w:val="642A8F"/>
            <w:sz w:val="20"/>
            <w:u w:val="single"/>
            <w:lang w:eastAsia="en-IN"/>
          </w:rPr>
          <w:t xml:space="preserve"> </w:t>
        </w:r>
        <w:proofErr w:type="spellStart"/>
        <w:r w:rsidRPr="00282481">
          <w:rPr>
            <w:rFonts w:ascii="Arial" w:eastAsia="Times New Roman" w:hAnsi="Arial" w:cs="Arial"/>
            <w:color w:val="642A8F"/>
            <w:sz w:val="20"/>
            <w:u w:val="single"/>
            <w:lang w:eastAsia="en-IN"/>
          </w:rPr>
          <w:t>Verma</w:t>
        </w:r>
        <w:proofErr w:type="spellEnd"/>
      </w:hyperlink>
      <w:r w:rsidRPr="00282481">
        <w:rPr>
          <w:rFonts w:ascii="Arial" w:eastAsia="Times New Roman" w:hAnsi="Arial" w:cs="Arial"/>
          <w:color w:val="000000"/>
          <w:sz w:val="20"/>
          <w:szCs w:val="20"/>
          <w:lang w:eastAsia="en-IN"/>
        </w:rPr>
        <w:t> and </w:t>
      </w:r>
      <w:proofErr w:type="spellStart"/>
      <w:r w:rsidRPr="00282481">
        <w:rPr>
          <w:rFonts w:ascii="Arial" w:eastAsia="Times New Roman" w:hAnsi="Arial" w:cs="Arial"/>
          <w:color w:val="000000"/>
          <w:sz w:val="20"/>
          <w:szCs w:val="20"/>
          <w:lang w:eastAsia="en-IN"/>
        </w:rPr>
        <w:fldChar w:fldCharType="begin"/>
      </w:r>
      <w:r w:rsidRPr="00282481">
        <w:rPr>
          <w:rFonts w:ascii="Arial" w:eastAsia="Times New Roman" w:hAnsi="Arial" w:cs="Arial"/>
          <w:color w:val="000000"/>
          <w:sz w:val="20"/>
          <w:szCs w:val="20"/>
          <w:lang w:eastAsia="en-IN"/>
        </w:rPr>
        <w:instrText xml:space="preserve"> HYPERLINK "https://www.ncbi.nlm.nih.gov/pubmed/?term=Khanna%20P%5BAuthor%5D&amp;cauthor=true&amp;cauthor_uid=24319548" </w:instrText>
      </w:r>
      <w:r w:rsidRPr="00282481">
        <w:rPr>
          <w:rFonts w:ascii="Arial" w:eastAsia="Times New Roman" w:hAnsi="Arial" w:cs="Arial"/>
          <w:color w:val="000000"/>
          <w:sz w:val="20"/>
          <w:szCs w:val="20"/>
          <w:lang w:eastAsia="en-IN"/>
        </w:rPr>
        <w:fldChar w:fldCharType="separate"/>
      </w:r>
      <w:r w:rsidRPr="00282481">
        <w:rPr>
          <w:rFonts w:ascii="Arial" w:eastAsia="Times New Roman" w:hAnsi="Arial" w:cs="Arial"/>
          <w:color w:val="642A8F"/>
          <w:sz w:val="20"/>
          <w:u w:val="single"/>
          <w:lang w:eastAsia="en-IN"/>
        </w:rPr>
        <w:t>Pardeep</w:t>
      </w:r>
      <w:proofErr w:type="spellEnd"/>
      <w:r w:rsidRPr="00282481">
        <w:rPr>
          <w:rFonts w:ascii="Arial" w:eastAsia="Times New Roman" w:hAnsi="Arial" w:cs="Arial"/>
          <w:color w:val="642A8F"/>
          <w:sz w:val="20"/>
          <w:u w:val="single"/>
          <w:lang w:eastAsia="en-IN"/>
        </w:rPr>
        <w:t xml:space="preserve"> </w:t>
      </w:r>
      <w:proofErr w:type="spellStart"/>
      <w:r w:rsidRPr="00282481">
        <w:rPr>
          <w:rFonts w:ascii="Arial" w:eastAsia="Times New Roman" w:hAnsi="Arial" w:cs="Arial"/>
          <w:color w:val="642A8F"/>
          <w:sz w:val="20"/>
          <w:u w:val="single"/>
          <w:lang w:eastAsia="en-IN"/>
        </w:rPr>
        <w:t>Khanna</w:t>
      </w:r>
      <w:proofErr w:type="spellEnd"/>
      <w:r w:rsidRPr="00282481">
        <w:rPr>
          <w:rFonts w:ascii="Arial" w:eastAsia="Times New Roman" w:hAnsi="Arial" w:cs="Arial"/>
          <w:color w:val="000000"/>
          <w:sz w:val="20"/>
          <w:szCs w:val="20"/>
          <w:lang w:eastAsia="en-IN"/>
        </w:rPr>
        <w:fldChar w:fldCharType="end"/>
      </w:r>
    </w:p>
    <w:p w:rsidR="00282481" w:rsidRPr="00282481" w:rsidRDefault="00282481" w:rsidP="00282481">
      <w:pPr>
        <w:shd w:val="clear" w:color="auto" w:fill="FFFFFF"/>
        <w:spacing w:after="166" w:line="393" w:lineRule="atLeast"/>
        <w:jc w:val="left"/>
        <w:rPr>
          <w:rFonts w:ascii="Arial" w:eastAsia="Times New Roman" w:hAnsi="Arial" w:cs="Arial"/>
          <w:color w:val="000000"/>
          <w:sz w:val="20"/>
          <w:szCs w:val="20"/>
          <w:lang w:eastAsia="en-IN"/>
        </w:rPr>
      </w:pPr>
      <w:hyperlink r:id="rId6" w:history="1">
        <w:r w:rsidRPr="00282481">
          <w:rPr>
            <w:rFonts w:ascii="Arial" w:eastAsia="Times New Roman" w:hAnsi="Arial" w:cs="Arial"/>
            <w:color w:val="642A8F"/>
            <w:sz w:val="20"/>
            <w:u w:val="single"/>
            <w:lang w:eastAsia="en-IN"/>
          </w:rPr>
          <w:t>Author information</w:t>
        </w:r>
      </w:hyperlink>
      <w:r w:rsidRPr="00282481">
        <w:rPr>
          <w:rFonts w:ascii="Arial" w:eastAsia="Times New Roman" w:hAnsi="Arial" w:cs="Arial"/>
          <w:color w:val="000000"/>
          <w:sz w:val="20"/>
          <w:szCs w:val="20"/>
          <w:lang w:eastAsia="en-IN"/>
        </w:rPr>
        <w:t> </w:t>
      </w:r>
      <w:hyperlink r:id="rId7" w:history="1">
        <w:r w:rsidRPr="00282481">
          <w:rPr>
            <w:rFonts w:ascii="Arial" w:eastAsia="Times New Roman" w:hAnsi="Arial" w:cs="Arial"/>
            <w:color w:val="642A8F"/>
            <w:sz w:val="20"/>
            <w:u w:val="single"/>
            <w:lang w:eastAsia="en-IN"/>
          </w:rPr>
          <w:t>Article notes</w:t>
        </w:r>
      </w:hyperlink>
      <w:r w:rsidRPr="00282481">
        <w:rPr>
          <w:rFonts w:ascii="Arial" w:eastAsia="Times New Roman" w:hAnsi="Arial" w:cs="Arial"/>
          <w:color w:val="000000"/>
          <w:sz w:val="20"/>
          <w:szCs w:val="20"/>
          <w:lang w:eastAsia="en-IN"/>
        </w:rPr>
        <w:t> </w:t>
      </w:r>
      <w:hyperlink r:id="rId8" w:history="1">
        <w:r w:rsidRPr="00282481">
          <w:rPr>
            <w:rFonts w:ascii="Arial" w:eastAsia="Times New Roman" w:hAnsi="Arial" w:cs="Arial"/>
            <w:color w:val="642A8F"/>
            <w:sz w:val="20"/>
            <w:u w:val="single"/>
            <w:lang w:eastAsia="en-IN"/>
          </w:rPr>
          <w:t>Copyright and License information</w:t>
        </w:r>
      </w:hyperlink>
      <w:r w:rsidRPr="00282481">
        <w:rPr>
          <w:rFonts w:ascii="Arial" w:eastAsia="Times New Roman" w:hAnsi="Arial" w:cs="Arial"/>
          <w:color w:val="000000"/>
          <w:sz w:val="20"/>
          <w:szCs w:val="20"/>
          <w:lang w:eastAsia="en-IN"/>
        </w:rPr>
        <w:t> </w:t>
      </w:r>
      <w:hyperlink r:id="rId9" w:history="1">
        <w:r w:rsidRPr="00282481">
          <w:rPr>
            <w:rFonts w:ascii="Arial" w:eastAsia="Times New Roman" w:hAnsi="Arial" w:cs="Arial"/>
            <w:color w:val="642A8F"/>
            <w:sz w:val="20"/>
            <w:u w:val="single"/>
            <w:lang w:eastAsia="en-IN"/>
          </w:rPr>
          <w:t>Disclaimer</w:t>
        </w:r>
      </w:hyperlink>
    </w:p>
    <w:p w:rsidR="00282481" w:rsidRPr="00282481" w:rsidRDefault="00282481" w:rsidP="00282481">
      <w:pPr>
        <w:shd w:val="clear" w:color="auto" w:fill="FFF4CE"/>
        <w:spacing w:line="393" w:lineRule="atLeast"/>
        <w:jc w:val="left"/>
        <w:rPr>
          <w:rFonts w:ascii="Arial" w:eastAsia="Times New Roman" w:hAnsi="Arial" w:cs="Arial"/>
          <w:color w:val="000000"/>
          <w:sz w:val="20"/>
          <w:szCs w:val="20"/>
          <w:lang w:eastAsia="en-IN"/>
        </w:rPr>
      </w:pPr>
      <w:r w:rsidRPr="00282481">
        <w:rPr>
          <w:rFonts w:ascii="Arial" w:eastAsia="Times New Roman" w:hAnsi="Arial" w:cs="Arial"/>
          <w:color w:val="000000"/>
          <w:sz w:val="20"/>
          <w:szCs w:val="20"/>
          <w:lang w:eastAsia="en-IN"/>
        </w:rPr>
        <w:t>This article has been </w:t>
      </w:r>
      <w:hyperlink r:id="rId10" w:history="1">
        <w:r w:rsidRPr="00282481">
          <w:rPr>
            <w:rFonts w:ascii="Arial" w:eastAsia="Times New Roman" w:hAnsi="Arial" w:cs="Arial"/>
            <w:color w:val="642A8F"/>
            <w:sz w:val="20"/>
            <w:u w:val="single"/>
            <w:lang w:eastAsia="en-IN"/>
          </w:rPr>
          <w:t>cited by</w:t>
        </w:r>
      </w:hyperlink>
      <w:r w:rsidRPr="00282481">
        <w:rPr>
          <w:rFonts w:ascii="Arial" w:eastAsia="Times New Roman" w:hAnsi="Arial" w:cs="Arial"/>
          <w:color w:val="000000"/>
          <w:sz w:val="20"/>
          <w:szCs w:val="20"/>
          <w:lang w:eastAsia="en-IN"/>
        </w:rPr>
        <w:t> other articles in PMC.</w:t>
      </w:r>
    </w:p>
    <w:p w:rsidR="00282481" w:rsidRPr="00282481" w:rsidRDefault="00282481" w:rsidP="00282481">
      <w:pPr>
        <w:shd w:val="clear" w:color="auto" w:fill="FFFFFF"/>
        <w:spacing w:after="0" w:line="240" w:lineRule="auto"/>
        <w:jc w:val="right"/>
        <w:rPr>
          <w:rFonts w:ascii="Arial" w:eastAsia="Times New Roman" w:hAnsi="Arial" w:cs="Arial"/>
          <w:color w:val="000000"/>
          <w:sz w:val="24"/>
          <w:szCs w:val="24"/>
          <w:lang w:eastAsia="en-IN"/>
        </w:rPr>
      </w:pPr>
      <w:hyperlink r:id="rId11" w:tooltip="Go to other sections in this page" w:history="1">
        <w:r w:rsidRPr="00282481">
          <w:rPr>
            <w:rFonts w:ascii="Arial" w:eastAsia="Times New Roman" w:hAnsi="Arial" w:cs="Arial"/>
            <w:color w:val="642A8F"/>
            <w:sz w:val="24"/>
            <w:szCs w:val="24"/>
            <w:u w:val="single"/>
            <w:lang w:eastAsia="en-IN"/>
          </w:rPr>
          <w:t>Go to:</w:t>
        </w:r>
      </w:hyperlink>
    </w:p>
    <w:p w:rsidR="00282481" w:rsidRPr="00282481" w:rsidRDefault="00282481" w:rsidP="00282481">
      <w:pPr>
        <w:pBdr>
          <w:bottom w:val="single" w:sz="6" w:space="0" w:color="97B0C8"/>
        </w:pBdr>
        <w:shd w:val="clear" w:color="auto" w:fill="FFFFFF"/>
        <w:spacing w:before="270" w:after="0" w:line="267" w:lineRule="atLeast"/>
        <w:jc w:val="left"/>
        <w:outlineLvl w:val="1"/>
        <w:rPr>
          <w:rFonts w:ascii="Arial" w:eastAsia="Times New Roman" w:hAnsi="Arial" w:cs="Arial"/>
          <w:color w:val="985735"/>
          <w:sz w:val="27"/>
          <w:szCs w:val="27"/>
          <w:lang w:eastAsia="en-IN"/>
        </w:rPr>
      </w:pPr>
      <w:r w:rsidRPr="00282481">
        <w:rPr>
          <w:rFonts w:ascii="Arial" w:eastAsia="Times New Roman" w:hAnsi="Arial" w:cs="Arial"/>
          <w:color w:val="985735"/>
          <w:sz w:val="27"/>
          <w:szCs w:val="27"/>
          <w:lang w:eastAsia="en-IN"/>
        </w:rPr>
        <w:t>INTRODUCTION</w:t>
      </w:r>
    </w:p>
    <w:p w:rsidR="00282481" w:rsidRPr="00282481" w:rsidRDefault="00282481" w:rsidP="00282481">
      <w:p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Population ageing is one of the most discussed global phenomena in the present century. Countries with a large population like India have a large number of people now aged 60 years or more. The population over the age of 60 years has tripled in last 50 years in India and will relentlessly increase in the near future. According to census 2001, older people were 7.7% of the total population, which increased to 8.14% in census 2011. The projections for population over 60 years in next four censuses are: 133.32 million (2021), 178.59 (2031), 236.01 million (2041) and 300.96 million (2051). The increases in the elderly population are the result of changing fertility and mortality regimes over the last 40-50 years</w:t>
      </w:r>
      <w:proofErr w:type="gramStart"/>
      <w:r w:rsidRPr="00282481">
        <w:rPr>
          <w:rFonts w:ascii="Times New Roman" w:eastAsia="Times New Roman" w:hAnsi="Times New Roman" w:cs="Times New Roman"/>
          <w:color w:val="000000"/>
          <w:sz w:val="24"/>
          <w:szCs w:val="24"/>
          <w:lang w:eastAsia="en-IN"/>
        </w:rPr>
        <w:t>.[</w:t>
      </w:r>
      <w:proofErr w:type="gramEnd"/>
      <w:r w:rsidRPr="00282481">
        <w:rPr>
          <w:rFonts w:ascii="Times New Roman" w:eastAsia="Times New Roman" w:hAnsi="Times New Roman" w:cs="Times New Roman"/>
          <w:color w:val="000000"/>
          <w:sz w:val="24"/>
          <w:szCs w:val="24"/>
          <w:lang w:eastAsia="en-IN"/>
        </w:rPr>
        <w:fldChar w:fldCharType="begin"/>
      </w:r>
      <w:r w:rsidRPr="00282481">
        <w:rPr>
          <w:rFonts w:ascii="Times New Roman" w:eastAsia="Times New Roman" w:hAnsi="Times New Roman" w:cs="Times New Roman"/>
          <w:color w:val="000000"/>
          <w:sz w:val="24"/>
          <w:szCs w:val="24"/>
          <w:lang w:eastAsia="en-IN"/>
        </w:rPr>
        <w:instrText xml:space="preserve"> HYPERLINK "https://www.ncbi.nlm.nih.gov/pmc/articles/PMC3843295/" \l "ref1" </w:instrText>
      </w:r>
      <w:r w:rsidRPr="00282481">
        <w:rPr>
          <w:rFonts w:ascii="Times New Roman" w:eastAsia="Times New Roman" w:hAnsi="Times New Roman" w:cs="Times New Roman"/>
          <w:color w:val="000000"/>
          <w:sz w:val="24"/>
          <w:szCs w:val="24"/>
          <w:lang w:eastAsia="en-IN"/>
        </w:rPr>
        <w:fldChar w:fldCharType="separate"/>
      </w:r>
      <w:r w:rsidRPr="00282481">
        <w:rPr>
          <w:rFonts w:ascii="Times New Roman" w:eastAsia="Times New Roman" w:hAnsi="Times New Roman" w:cs="Times New Roman"/>
          <w:color w:val="642A8F"/>
          <w:sz w:val="24"/>
          <w:szCs w:val="24"/>
          <w:u w:val="single"/>
          <w:lang w:eastAsia="en-IN"/>
        </w:rPr>
        <w:t>1</w:t>
      </w:r>
      <w:r w:rsidRPr="00282481">
        <w:rPr>
          <w:rFonts w:ascii="Times New Roman" w:eastAsia="Times New Roman" w:hAnsi="Times New Roman" w:cs="Times New Roman"/>
          <w:color w:val="000000"/>
          <w:sz w:val="24"/>
          <w:szCs w:val="24"/>
          <w:lang w:eastAsia="en-IN"/>
        </w:rPr>
        <w:fldChar w:fldCharType="end"/>
      </w:r>
      <w:r w:rsidRPr="00282481">
        <w:rPr>
          <w:rFonts w:ascii="Times New Roman" w:eastAsia="Times New Roman" w:hAnsi="Times New Roman" w:cs="Times New Roman"/>
          <w:color w:val="000000"/>
          <w:sz w:val="24"/>
          <w:szCs w:val="24"/>
          <w:lang w:eastAsia="en-IN"/>
        </w:rPr>
        <w:t>,</w:t>
      </w:r>
      <w:hyperlink r:id="rId12" w:anchor="ref2" w:history="1">
        <w:r w:rsidRPr="00282481">
          <w:rPr>
            <w:rFonts w:ascii="Times New Roman" w:eastAsia="Times New Roman" w:hAnsi="Times New Roman" w:cs="Times New Roman"/>
            <w:color w:val="642A8F"/>
            <w:sz w:val="24"/>
            <w:szCs w:val="24"/>
            <w:u w:val="single"/>
            <w:lang w:eastAsia="en-IN"/>
          </w:rPr>
          <w:t>2</w:t>
        </w:r>
      </w:hyperlink>
      <w:r w:rsidRPr="00282481">
        <w:rPr>
          <w:rFonts w:ascii="Times New Roman" w:eastAsia="Times New Roman" w:hAnsi="Times New Roman" w:cs="Times New Roman"/>
          <w:color w:val="000000"/>
          <w:sz w:val="24"/>
          <w:szCs w:val="24"/>
          <w:lang w:eastAsia="en-IN"/>
        </w:rPr>
        <w:t>]</w:t>
      </w:r>
    </w:p>
    <w:p w:rsidR="00282481" w:rsidRPr="00282481" w:rsidRDefault="00282481" w:rsidP="00282481">
      <w:p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The elderly process is considered to be an end product of demographic transition or demographic achievement with a decline in both birth and mortality rates and consequent increase in life expectancy at birth and older ages. The expectancy of life at birth during the year 2006-2011 was 65.65 and 67.22 for male and female respectively while projected expectancy of life at birth during the year 2011-2016 will be 67.04 and 68.8 years for males and females respectively. Irrespective of socio-economic status, the non-communicable diseases (NCDs) requiring large quantum of health and social care are extremely common in old age. Disabilities resulting from these NCDs are very frequent, which affects the activities of daily living. The management of these chronic diseases is also very costly, especially for cancer treatment, joint replacements, heart surgery, neurosurgical procedures etc., thereby making it out of pocket for elderly persons. The 60</w:t>
      </w:r>
      <w:r w:rsidRPr="00282481">
        <w:rPr>
          <w:rFonts w:ascii="Times New Roman" w:eastAsia="Times New Roman" w:hAnsi="Times New Roman" w:cs="Times New Roman"/>
          <w:color w:val="000000"/>
          <w:sz w:val="20"/>
          <w:szCs w:val="20"/>
          <w:vertAlign w:val="superscript"/>
          <w:lang w:eastAsia="en-IN"/>
        </w:rPr>
        <w:t>th</w:t>
      </w:r>
      <w:r w:rsidRPr="00282481">
        <w:rPr>
          <w:rFonts w:ascii="Times New Roman" w:eastAsia="Times New Roman" w:hAnsi="Times New Roman" w:cs="Times New Roman"/>
          <w:color w:val="000000"/>
          <w:sz w:val="24"/>
          <w:szCs w:val="24"/>
          <w:lang w:eastAsia="en-IN"/>
        </w:rPr>
        <w:t> round of National Sample Survey provides a comprehensive status report on older persons. According to this survey, the prevalence and incidence of diseases as well as hospitalization rates are much higher in older people than the total population. It also reported that about 8% of older Indians were confined to their home or bed. The proportion of such immobile or home bound people rose with age to 27% after the age of 80 years. Women were more frequently affected than males in both rural and urban areas. The survey revealed that a good or fair condition of health was reported by 55-63% of people with a sickness and 77-78% of people without one. In contrast about 13-17% of the survey population without any sickness reported ill-health. It is possible that many older people take ill health in their stride as a part of “usual/normal ageing.” This observation has a lot of significance as self-perceived health status is an important indicator of health service utilization and compliance to treatment interventions</w:t>
      </w:r>
      <w:proofErr w:type="gramStart"/>
      <w:r w:rsidRPr="00282481">
        <w:rPr>
          <w:rFonts w:ascii="Times New Roman" w:eastAsia="Times New Roman" w:hAnsi="Times New Roman" w:cs="Times New Roman"/>
          <w:color w:val="000000"/>
          <w:sz w:val="24"/>
          <w:szCs w:val="24"/>
          <w:lang w:eastAsia="en-IN"/>
        </w:rPr>
        <w:t>.[</w:t>
      </w:r>
      <w:proofErr w:type="gramEnd"/>
      <w:r w:rsidRPr="00282481">
        <w:rPr>
          <w:rFonts w:ascii="Times New Roman" w:eastAsia="Times New Roman" w:hAnsi="Times New Roman" w:cs="Times New Roman"/>
          <w:color w:val="000000"/>
          <w:sz w:val="24"/>
          <w:szCs w:val="24"/>
          <w:lang w:eastAsia="en-IN"/>
        </w:rPr>
        <w:fldChar w:fldCharType="begin"/>
      </w:r>
      <w:r w:rsidRPr="00282481">
        <w:rPr>
          <w:rFonts w:ascii="Times New Roman" w:eastAsia="Times New Roman" w:hAnsi="Times New Roman" w:cs="Times New Roman"/>
          <w:color w:val="000000"/>
          <w:sz w:val="24"/>
          <w:szCs w:val="24"/>
          <w:lang w:eastAsia="en-IN"/>
        </w:rPr>
        <w:instrText xml:space="preserve"> HYPERLINK "https://www.ncbi.nlm.nih.gov/pmc/articles/PMC3843295/" \l "ref3" </w:instrText>
      </w:r>
      <w:r w:rsidRPr="00282481">
        <w:rPr>
          <w:rFonts w:ascii="Times New Roman" w:eastAsia="Times New Roman" w:hAnsi="Times New Roman" w:cs="Times New Roman"/>
          <w:color w:val="000000"/>
          <w:sz w:val="24"/>
          <w:szCs w:val="24"/>
          <w:lang w:eastAsia="en-IN"/>
        </w:rPr>
        <w:fldChar w:fldCharType="separate"/>
      </w:r>
      <w:r w:rsidRPr="00282481">
        <w:rPr>
          <w:rFonts w:ascii="Times New Roman" w:eastAsia="Times New Roman" w:hAnsi="Times New Roman" w:cs="Times New Roman"/>
          <w:color w:val="642A8F"/>
          <w:sz w:val="24"/>
          <w:szCs w:val="24"/>
          <w:u w:val="single"/>
          <w:lang w:eastAsia="en-IN"/>
        </w:rPr>
        <w:t>3</w:t>
      </w:r>
      <w:r w:rsidRPr="00282481">
        <w:rPr>
          <w:rFonts w:ascii="Times New Roman" w:eastAsia="Times New Roman" w:hAnsi="Times New Roman" w:cs="Times New Roman"/>
          <w:color w:val="000000"/>
          <w:sz w:val="24"/>
          <w:szCs w:val="24"/>
          <w:lang w:eastAsia="en-IN"/>
        </w:rPr>
        <w:fldChar w:fldCharType="end"/>
      </w:r>
      <w:r w:rsidRPr="00282481">
        <w:rPr>
          <w:rFonts w:ascii="Times New Roman" w:eastAsia="Times New Roman" w:hAnsi="Times New Roman" w:cs="Times New Roman"/>
          <w:color w:val="000000"/>
          <w:sz w:val="24"/>
          <w:szCs w:val="24"/>
          <w:lang w:eastAsia="en-IN"/>
        </w:rPr>
        <w:t>]</w:t>
      </w:r>
    </w:p>
    <w:p w:rsidR="00282481" w:rsidRPr="00282481" w:rsidRDefault="00282481" w:rsidP="00282481">
      <w:p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However, very little effort has been made to develop a model of health and social care in tune with the changing need and time. The developed world has evolved many models for elderly care, e.g., nursing home care, health insurance etc., As no such model for older people exists in India, as well as most other societies with similar socio-economic situation, it may be an opportunity for innovation in the health system development, though it is a major challenge. </w:t>
      </w:r>
      <w:r w:rsidRPr="00282481">
        <w:rPr>
          <w:rFonts w:ascii="Times New Roman" w:eastAsia="Times New Roman" w:hAnsi="Times New Roman" w:cs="Times New Roman"/>
          <w:color w:val="000000"/>
          <w:sz w:val="24"/>
          <w:szCs w:val="24"/>
          <w:lang w:eastAsia="en-IN"/>
        </w:rPr>
        <w:lastRenderedPageBreak/>
        <w:t>The requirements for health-care of the elderly are also different for our country. India still has family as the primary care giver to the elderly and scope for training this lot provide support to the program. Presently, the elderly are provided health-care by the general health-care delivery system in the country.</w:t>
      </w:r>
    </w:p>
    <w:p w:rsidR="00282481" w:rsidRPr="00282481" w:rsidRDefault="00282481" w:rsidP="00282481">
      <w:p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As the elderly population is likely to increase in the future, and there is a definite shift in the disease pattern, i.e. from communicable to non-communicable, it is high time that the health care system gears itself to growing health needs of the elderly in an optimal and comprehensive manner. There is a definite need to emphasize the fact that disease and disability are not part of old age and help must be sought to address the health problems. The concept of Active and Healthy ageing needs to be promoted among the elderly, which includes preventive, </w:t>
      </w:r>
      <w:proofErr w:type="spellStart"/>
      <w:r w:rsidRPr="00282481">
        <w:rPr>
          <w:rFonts w:ascii="Times New Roman" w:eastAsia="Times New Roman" w:hAnsi="Times New Roman" w:cs="Times New Roman"/>
          <w:color w:val="000000"/>
          <w:sz w:val="24"/>
          <w:szCs w:val="24"/>
          <w:lang w:eastAsia="en-IN"/>
        </w:rPr>
        <w:t>promotive</w:t>
      </w:r>
      <w:proofErr w:type="spellEnd"/>
      <w:r w:rsidRPr="00282481">
        <w:rPr>
          <w:rFonts w:ascii="Times New Roman" w:eastAsia="Times New Roman" w:hAnsi="Times New Roman" w:cs="Times New Roman"/>
          <w:color w:val="000000"/>
          <w:sz w:val="24"/>
          <w:szCs w:val="24"/>
          <w:lang w:eastAsia="en-IN"/>
        </w:rPr>
        <w:t>, curative and rehabilitative aspects of health</w:t>
      </w:r>
      <w:proofErr w:type="gramStart"/>
      <w:r w:rsidRPr="00282481">
        <w:rPr>
          <w:rFonts w:ascii="Times New Roman" w:eastAsia="Times New Roman" w:hAnsi="Times New Roman" w:cs="Times New Roman"/>
          <w:color w:val="000000"/>
          <w:sz w:val="24"/>
          <w:szCs w:val="24"/>
          <w:lang w:eastAsia="en-IN"/>
        </w:rPr>
        <w:t>.[</w:t>
      </w:r>
      <w:proofErr w:type="gramEnd"/>
      <w:hyperlink r:id="rId13" w:anchor="ref4" w:history="1">
        <w:r w:rsidRPr="00282481">
          <w:rPr>
            <w:rFonts w:ascii="Times New Roman" w:eastAsia="Times New Roman" w:hAnsi="Times New Roman" w:cs="Times New Roman"/>
            <w:color w:val="642A8F"/>
            <w:sz w:val="24"/>
            <w:szCs w:val="24"/>
            <w:u w:val="single"/>
            <w:lang w:eastAsia="en-IN"/>
          </w:rPr>
          <w:t>4</w:t>
        </w:r>
      </w:hyperlink>
      <w:r w:rsidRPr="00282481">
        <w:rPr>
          <w:rFonts w:ascii="Times New Roman" w:eastAsia="Times New Roman" w:hAnsi="Times New Roman" w:cs="Times New Roman"/>
          <w:color w:val="000000"/>
          <w:sz w:val="24"/>
          <w:szCs w:val="24"/>
          <w:lang w:eastAsia="en-IN"/>
        </w:rPr>
        <w:t>]</w:t>
      </w:r>
    </w:p>
    <w:p w:rsidR="00282481" w:rsidRPr="00282481" w:rsidRDefault="00282481" w:rsidP="00282481">
      <w:pPr>
        <w:shd w:val="clear" w:color="auto" w:fill="FFFFFF"/>
        <w:spacing w:after="0" w:line="240" w:lineRule="auto"/>
        <w:jc w:val="right"/>
        <w:rPr>
          <w:rFonts w:ascii="Arial" w:eastAsia="Times New Roman" w:hAnsi="Arial" w:cs="Arial"/>
          <w:color w:val="000000"/>
          <w:sz w:val="24"/>
          <w:szCs w:val="24"/>
          <w:lang w:eastAsia="en-IN"/>
        </w:rPr>
      </w:pPr>
      <w:hyperlink r:id="rId14" w:tooltip="Go to other sections in this page" w:history="1">
        <w:r w:rsidRPr="00282481">
          <w:rPr>
            <w:rFonts w:ascii="Arial" w:eastAsia="Times New Roman" w:hAnsi="Arial" w:cs="Arial"/>
            <w:color w:val="642A8F"/>
            <w:sz w:val="24"/>
            <w:szCs w:val="24"/>
            <w:u w:val="single"/>
            <w:lang w:eastAsia="en-IN"/>
          </w:rPr>
          <w:t>Go to:</w:t>
        </w:r>
      </w:hyperlink>
    </w:p>
    <w:p w:rsidR="00282481" w:rsidRPr="00282481" w:rsidRDefault="00282481" w:rsidP="00282481">
      <w:pPr>
        <w:pBdr>
          <w:bottom w:val="single" w:sz="6" w:space="0" w:color="97B0C8"/>
        </w:pBdr>
        <w:shd w:val="clear" w:color="auto" w:fill="FFFFFF"/>
        <w:spacing w:before="270" w:after="0" w:line="267" w:lineRule="atLeast"/>
        <w:jc w:val="left"/>
        <w:outlineLvl w:val="1"/>
        <w:rPr>
          <w:rFonts w:ascii="Arial" w:eastAsia="Times New Roman" w:hAnsi="Arial" w:cs="Arial"/>
          <w:color w:val="985735"/>
          <w:sz w:val="27"/>
          <w:szCs w:val="27"/>
          <w:lang w:eastAsia="en-IN"/>
        </w:rPr>
      </w:pPr>
      <w:r w:rsidRPr="00282481">
        <w:rPr>
          <w:rFonts w:ascii="Arial" w:eastAsia="Times New Roman" w:hAnsi="Arial" w:cs="Arial"/>
          <w:color w:val="985735"/>
          <w:sz w:val="27"/>
          <w:szCs w:val="27"/>
          <w:lang w:eastAsia="en-IN"/>
        </w:rPr>
        <w:t>VISION AND OBJECTIVES OF THE NATIONAL PROGRAM FOR THE HEALTH-CARE FOR THE ELDERLY (NPHCE)</w:t>
      </w:r>
    </w:p>
    <w:p w:rsidR="00282481" w:rsidRPr="00282481" w:rsidRDefault="00282481" w:rsidP="00282481">
      <w:p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The NPHCE is an articulation of the International and national commitments of the Government as envisaged under the UN Convention on the Rights of Persons with Disabilities, National Policy on Older Persons adopted by the Government of India in 1999 and Section 20 of “The Maintenance and Welfare of Parents and Senior Citizens Act, 2007” dealing with provisions for medical care of Senior Citizen. The Vision of the NPHCE are: (1) To provide accessible, affordable, and high-quality long-term, comprehensive and dedicated care services to an ageing population; (2) Creating a new “architecture” for Ageing; (3) To build a framework to create an enabling environment for “a Society for all Ages;” (4) To promote the concept of Active and Healthy Ageing.</w:t>
      </w:r>
    </w:p>
    <w:p w:rsidR="00282481" w:rsidRPr="00282481" w:rsidRDefault="00282481" w:rsidP="00282481">
      <w:pPr>
        <w:shd w:val="clear" w:color="auto" w:fill="FFFFFF"/>
        <w:spacing w:after="0" w:line="240" w:lineRule="auto"/>
        <w:jc w:val="right"/>
        <w:rPr>
          <w:rFonts w:ascii="Arial" w:eastAsia="Times New Roman" w:hAnsi="Arial" w:cs="Arial"/>
          <w:color w:val="000000"/>
          <w:sz w:val="24"/>
          <w:szCs w:val="24"/>
          <w:lang w:eastAsia="en-IN"/>
        </w:rPr>
      </w:pPr>
      <w:hyperlink r:id="rId15" w:tooltip="Go to other sections in this page" w:history="1">
        <w:r w:rsidRPr="00282481">
          <w:rPr>
            <w:rFonts w:ascii="Arial" w:eastAsia="Times New Roman" w:hAnsi="Arial" w:cs="Arial"/>
            <w:color w:val="642A8F"/>
            <w:sz w:val="24"/>
            <w:szCs w:val="24"/>
            <w:u w:val="single"/>
            <w:lang w:eastAsia="en-IN"/>
          </w:rPr>
          <w:t>Go to:</w:t>
        </w:r>
      </w:hyperlink>
    </w:p>
    <w:p w:rsidR="00282481" w:rsidRPr="00282481" w:rsidRDefault="00282481" w:rsidP="00282481">
      <w:pPr>
        <w:pBdr>
          <w:bottom w:val="single" w:sz="6" w:space="0" w:color="97B0C8"/>
        </w:pBdr>
        <w:shd w:val="clear" w:color="auto" w:fill="FFFFFF"/>
        <w:spacing w:before="270" w:after="0" w:line="267" w:lineRule="atLeast"/>
        <w:jc w:val="left"/>
        <w:outlineLvl w:val="1"/>
        <w:rPr>
          <w:rFonts w:ascii="Arial" w:eastAsia="Times New Roman" w:hAnsi="Arial" w:cs="Arial"/>
          <w:color w:val="985735"/>
          <w:sz w:val="27"/>
          <w:szCs w:val="27"/>
          <w:lang w:eastAsia="en-IN"/>
        </w:rPr>
      </w:pPr>
      <w:r w:rsidRPr="00282481">
        <w:rPr>
          <w:rFonts w:ascii="Arial" w:eastAsia="Times New Roman" w:hAnsi="Arial" w:cs="Arial"/>
          <w:color w:val="985735"/>
          <w:sz w:val="27"/>
          <w:szCs w:val="27"/>
          <w:lang w:eastAsia="en-IN"/>
        </w:rPr>
        <w:t>SPECIFIC OBJECTIVES OF NPHCE</w:t>
      </w:r>
    </w:p>
    <w:p w:rsidR="00282481" w:rsidRPr="00282481" w:rsidRDefault="00282481" w:rsidP="00282481">
      <w:pPr>
        <w:numPr>
          <w:ilvl w:val="0"/>
          <w:numId w:val="1"/>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To provide an easy access to promotional, preventive, curative and rehabilitative services through community based primary health-care (PHC) approach</w:t>
      </w:r>
    </w:p>
    <w:p w:rsidR="00282481" w:rsidRPr="00282481" w:rsidRDefault="00282481" w:rsidP="00282481">
      <w:pPr>
        <w:numPr>
          <w:ilvl w:val="0"/>
          <w:numId w:val="1"/>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To identify health problems in the elderly and provide appropriate health interventions in the community with a strong referral backup support</w:t>
      </w:r>
    </w:p>
    <w:p w:rsidR="00282481" w:rsidRPr="00282481" w:rsidRDefault="00282481" w:rsidP="00282481">
      <w:pPr>
        <w:numPr>
          <w:ilvl w:val="0"/>
          <w:numId w:val="1"/>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To build capacity of the medical and paramedical professionals as well as the care-takers within the family for providing health-care to the senior citizen</w:t>
      </w:r>
    </w:p>
    <w:p w:rsidR="00282481" w:rsidRPr="00282481" w:rsidRDefault="00282481" w:rsidP="00282481">
      <w:pPr>
        <w:numPr>
          <w:ilvl w:val="0"/>
          <w:numId w:val="1"/>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To provide referral services to the elderly patients through district hospital regional medical institutions</w:t>
      </w:r>
    </w:p>
    <w:p w:rsidR="00282481" w:rsidRPr="00282481" w:rsidRDefault="00282481" w:rsidP="00282481">
      <w:pPr>
        <w:numPr>
          <w:ilvl w:val="0"/>
          <w:numId w:val="1"/>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Convergence with National Rural Health Mission (NRHM), </w:t>
      </w:r>
      <w:proofErr w:type="spellStart"/>
      <w:r w:rsidRPr="00282481">
        <w:rPr>
          <w:rFonts w:ascii="Times New Roman" w:eastAsia="Times New Roman" w:hAnsi="Times New Roman" w:cs="Times New Roman"/>
          <w:color w:val="000000"/>
          <w:sz w:val="24"/>
          <w:szCs w:val="24"/>
          <w:lang w:eastAsia="en-IN"/>
        </w:rPr>
        <w:t>Ayush</w:t>
      </w:r>
      <w:proofErr w:type="spellEnd"/>
      <w:r w:rsidRPr="00282481">
        <w:rPr>
          <w:rFonts w:ascii="Times New Roman" w:eastAsia="Times New Roman" w:hAnsi="Times New Roman" w:cs="Times New Roman"/>
          <w:color w:val="000000"/>
          <w:sz w:val="24"/>
          <w:szCs w:val="24"/>
          <w:lang w:eastAsia="en-IN"/>
        </w:rPr>
        <w:t xml:space="preserve"> and other line departments like Ministry of Social Justice and Empowerment.</w:t>
      </w:r>
    </w:p>
    <w:p w:rsidR="00282481" w:rsidRPr="00282481" w:rsidRDefault="00282481" w:rsidP="00282481">
      <w:pPr>
        <w:shd w:val="clear" w:color="auto" w:fill="FFFFFF"/>
        <w:spacing w:after="0" w:line="240" w:lineRule="auto"/>
        <w:jc w:val="right"/>
        <w:rPr>
          <w:rFonts w:ascii="Arial" w:eastAsia="Times New Roman" w:hAnsi="Arial" w:cs="Arial"/>
          <w:color w:val="000000"/>
          <w:sz w:val="24"/>
          <w:szCs w:val="24"/>
          <w:lang w:eastAsia="en-IN"/>
        </w:rPr>
      </w:pPr>
      <w:hyperlink r:id="rId16" w:tooltip="Go to other sections in this page" w:history="1">
        <w:r w:rsidRPr="00282481">
          <w:rPr>
            <w:rFonts w:ascii="Arial" w:eastAsia="Times New Roman" w:hAnsi="Arial" w:cs="Arial"/>
            <w:color w:val="642A8F"/>
            <w:sz w:val="24"/>
            <w:szCs w:val="24"/>
            <w:u w:val="single"/>
            <w:lang w:eastAsia="en-IN"/>
          </w:rPr>
          <w:t>Go to:</w:t>
        </w:r>
      </w:hyperlink>
    </w:p>
    <w:p w:rsidR="00282481" w:rsidRPr="00282481" w:rsidRDefault="00282481" w:rsidP="00282481">
      <w:pPr>
        <w:pBdr>
          <w:bottom w:val="single" w:sz="6" w:space="0" w:color="97B0C8"/>
        </w:pBdr>
        <w:shd w:val="clear" w:color="auto" w:fill="FFFFFF"/>
        <w:spacing w:before="270" w:after="0" w:line="267" w:lineRule="atLeast"/>
        <w:jc w:val="left"/>
        <w:outlineLvl w:val="1"/>
        <w:rPr>
          <w:rFonts w:ascii="Arial" w:eastAsia="Times New Roman" w:hAnsi="Arial" w:cs="Arial"/>
          <w:color w:val="985735"/>
          <w:sz w:val="27"/>
          <w:szCs w:val="27"/>
          <w:lang w:eastAsia="en-IN"/>
        </w:rPr>
      </w:pPr>
      <w:r w:rsidRPr="00282481">
        <w:rPr>
          <w:rFonts w:ascii="Arial" w:eastAsia="Times New Roman" w:hAnsi="Arial" w:cs="Arial"/>
          <w:color w:val="985735"/>
          <w:sz w:val="27"/>
          <w:szCs w:val="27"/>
          <w:lang w:eastAsia="en-IN"/>
        </w:rPr>
        <w:t>STRATEGIES TO ACHIEVE THE OBJECTIVES OF THE NPHCE</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Community based PHC approach including domiciliary visits by trained health-care workers</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lastRenderedPageBreak/>
        <w:t>Dedicated services at PHC/Community Health Center (CHC) level including provision of machinery, equipment, training, additional human resources, Information, Education and Communication (IEC), etc.</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Dedicated facilities at the district hospital with 10 bedded wards, additional human resources, machinery and equipment, consumables and drugs, training and IEC</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Strengthening of 8 Regional Medical Institutes to provide dedicated tertiary level medical facilities for the elderly, introducing PG courses in geriatric medicine, and in-service training of health personnel at all levels</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IEC using mass media, folk media and other communication channels to reach out to the target community</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Continuous monitoring and independent evaluation of the Program and research in geriatrics and implementation of NPHCE</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Promotion of public private partnerships in geriatric health-care</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Mainstreaming </w:t>
      </w:r>
      <w:proofErr w:type="spellStart"/>
      <w:r w:rsidRPr="00282481">
        <w:rPr>
          <w:rFonts w:ascii="Times New Roman" w:eastAsia="Times New Roman" w:hAnsi="Times New Roman" w:cs="Times New Roman"/>
          <w:color w:val="000000"/>
          <w:sz w:val="24"/>
          <w:szCs w:val="24"/>
          <w:lang w:eastAsia="en-IN"/>
        </w:rPr>
        <w:t>Ayush</w:t>
      </w:r>
      <w:proofErr w:type="spellEnd"/>
      <w:r w:rsidRPr="00282481">
        <w:rPr>
          <w:rFonts w:ascii="Times New Roman" w:eastAsia="Times New Roman" w:hAnsi="Times New Roman" w:cs="Times New Roman"/>
          <w:color w:val="000000"/>
          <w:sz w:val="24"/>
          <w:szCs w:val="24"/>
          <w:lang w:eastAsia="en-IN"/>
        </w:rPr>
        <w:t xml:space="preserve"> – revitalizing local health traditions and convergence with programs of Ministry of Social Justice and Empowerment in the field of geriatrics</w:t>
      </w:r>
    </w:p>
    <w:p w:rsidR="00282481" w:rsidRPr="00282481" w:rsidRDefault="00282481" w:rsidP="00282481">
      <w:pPr>
        <w:numPr>
          <w:ilvl w:val="0"/>
          <w:numId w:val="2"/>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Reorienting medical education to support geriatric issues.</w:t>
      </w:r>
    </w:p>
    <w:p w:rsidR="00282481" w:rsidRPr="00282481" w:rsidRDefault="00282481" w:rsidP="00282481">
      <w:pPr>
        <w:shd w:val="clear" w:color="auto" w:fill="FFFFFF"/>
        <w:spacing w:after="0" w:line="240" w:lineRule="auto"/>
        <w:jc w:val="right"/>
        <w:rPr>
          <w:rFonts w:ascii="Arial" w:eastAsia="Times New Roman" w:hAnsi="Arial" w:cs="Arial"/>
          <w:color w:val="000000"/>
          <w:sz w:val="24"/>
          <w:szCs w:val="24"/>
          <w:lang w:eastAsia="en-IN"/>
        </w:rPr>
      </w:pPr>
      <w:hyperlink r:id="rId17" w:tooltip="Go to other sections in this page" w:history="1">
        <w:r w:rsidRPr="00282481">
          <w:rPr>
            <w:rFonts w:ascii="Arial" w:eastAsia="Times New Roman" w:hAnsi="Arial" w:cs="Arial"/>
            <w:color w:val="642A8F"/>
            <w:sz w:val="24"/>
            <w:szCs w:val="24"/>
            <w:u w:val="single"/>
            <w:lang w:eastAsia="en-IN"/>
          </w:rPr>
          <w:t>Go to:</w:t>
        </w:r>
      </w:hyperlink>
    </w:p>
    <w:p w:rsidR="00282481" w:rsidRPr="00282481" w:rsidRDefault="00282481" w:rsidP="00282481">
      <w:pPr>
        <w:pBdr>
          <w:bottom w:val="single" w:sz="6" w:space="0" w:color="97B0C8"/>
        </w:pBdr>
        <w:shd w:val="clear" w:color="auto" w:fill="FFFFFF"/>
        <w:spacing w:before="270" w:after="0" w:line="267" w:lineRule="atLeast"/>
        <w:jc w:val="left"/>
        <w:outlineLvl w:val="1"/>
        <w:rPr>
          <w:rFonts w:ascii="Arial" w:eastAsia="Times New Roman" w:hAnsi="Arial" w:cs="Arial"/>
          <w:color w:val="985735"/>
          <w:sz w:val="27"/>
          <w:szCs w:val="27"/>
          <w:lang w:eastAsia="en-IN"/>
        </w:rPr>
      </w:pPr>
      <w:r w:rsidRPr="00282481">
        <w:rPr>
          <w:rFonts w:ascii="Arial" w:eastAsia="Times New Roman" w:hAnsi="Arial" w:cs="Arial"/>
          <w:color w:val="985735"/>
          <w:sz w:val="27"/>
          <w:szCs w:val="27"/>
          <w:lang w:eastAsia="en-IN"/>
        </w:rPr>
        <w:t>THE FOLLOWING ARE THE EXPECTED OUTCOMES OF NPHCE</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Regional geriatric </w:t>
      </w:r>
      <w:proofErr w:type="spellStart"/>
      <w:r w:rsidRPr="00282481">
        <w:rPr>
          <w:rFonts w:ascii="Times New Roman" w:eastAsia="Times New Roman" w:hAnsi="Times New Roman" w:cs="Times New Roman"/>
          <w:color w:val="000000"/>
          <w:sz w:val="24"/>
          <w:szCs w:val="24"/>
          <w:lang w:eastAsia="en-IN"/>
        </w:rPr>
        <w:t>centers</w:t>
      </w:r>
      <w:proofErr w:type="spellEnd"/>
      <w:r w:rsidRPr="00282481">
        <w:rPr>
          <w:rFonts w:ascii="Times New Roman" w:eastAsia="Times New Roman" w:hAnsi="Times New Roman" w:cs="Times New Roman"/>
          <w:color w:val="000000"/>
          <w:sz w:val="24"/>
          <w:szCs w:val="24"/>
          <w:lang w:eastAsia="en-IN"/>
        </w:rPr>
        <w:t xml:space="preserve"> (RGC) in eight Regional Medical Institutions by setting up RGCs with a dedicated geriatric out-patient department (OPD) and 30-bedded geriatric ward for management of specific diseases of the elderly, training of health personnel in geriatric health-care and conducting research</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Post-graduates in geriatric medicine (16) from the eight regional medical institutions</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Video Conferencing Units in the 8 Regional Medical Institutions to be utilized for capacity building and mentoring</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District geriatric units with dedicated geriatric OPD and 10-bedded geriatric ward in 80-100 District Hospitals</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 xml:space="preserve">Geriatric clinics/rehabilitation units set up for domiciliary visits in community/primary health </w:t>
      </w:r>
      <w:proofErr w:type="spellStart"/>
      <w:r w:rsidRPr="00282481">
        <w:rPr>
          <w:rFonts w:ascii="Times New Roman" w:eastAsia="Times New Roman" w:hAnsi="Times New Roman" w:cs="Times New Roman"/>
          <w:color w:val="000000"/>
          <w:sz w:val="24"/>
          <w:szCs w:val="24"/>
          <w:lang w:eastAsia="en-IN"/>
        </w:rPr>
        <w:t>centers</w:t>
      </w:r>
      <w:proofErr w:type="spellEnd"/>
      <w:r w:rsidRPr="00282481">
        <w:rPr>
          <w:rFonts w:ascii="Times New Roman" w:eastAsia="Times New Roman" w:hAnsi="Times New Roman" w:cs="Times New Roman"/>
          <w:color w:val="000000"/>
          <w:sz w:val="24"/>
          <w:szCs w:val="24"/>
          <w:lang w:eastAsia="en-IN"/>
        </w:rPr>
        <w:t xml:space="preserve"> in the selected districts</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Sub-</w:t>
      </w:r>
      <w:proofErr w:type="spellStart"/>
      <w:r w:rsidRPr="00282481">
        <w:rPr>
          <w:rFonts w:ascii="Times New Roman" w:eastAsia="Times New Roman" w:hAnsi="Times New Roman" w:cs="Times New Roman"/>
          <w:color w:val="000000"/>
          <w:sz w:val="24"/>
          <w:szCs w:val="24"/>
          <w:lang w:eastAsia="en-IN"/>
        </w:rPr>
        <w:t>centers</w:t>
      </w:r>
      <w:proofErr w:type="spellEnd"/>
      <w:r w:rsidRPr="00282481">
        <w:rPr>
          <w:rFonts w:ascii="Times New Roman" w:eastAsia="Times New Roman" w:hAnsi="Times New Roman" w:cs="Times New Roman"/>
          <w:color w:val="000000"/>
          <w:sz w:val="24"/>
          <w:szCs w:val="24"/>
          <w:lang w:eastAsia="en-IN"/>
        </w:rPr>
        <w:t xml:space="preserve"> provided with equipment for community outreach services</w:t>
      </w:r>
    </w:p>
    <w:p w:rsidR="00282481" w:rsidRPr="00282481" w:rsidRDefault="00282481" w:rsidP="00282481">
      <w:pPr>
        <w:numPr>
          <w:ilvl w:val="0"/>
          <w:numId w:val="3"/>
        </w:numPr>
        <w:shd w:val="clear" w:color="auto" w:fill="FFFFFF"/>
        <w:spacing w:before="166" w:after="166" w:line="240" w:lineRule="auto"/>
        <w:jc w:val="left"/>
        <w:rPr>
          <w:rFonts w:ascii="Times New Roman" w:eastAsia="Times New Roman" w:hAnsi="Times New Roman" w:cs="Times New Roman"/>
          <w:color w:val="000000"/>
          <w:sz w:val="24"/>
          <w:szCs w:val="24"/>
          <w:lang w:eastAsia="en-IN"/>
        </w:rPr>
      </w:pPr>
      <w:r w:rsidRPr="00282481">
        <w:rPr>
          <w:rFonts w:ascii="Times New Roman" w:eastAsia="Times New Roman" w:hAnsi="Times New Roman" w:cs="Times New Roman"/>
          <w:color w:val="000000"/>
          <w:sz w:val="24"/>
          <w:szCs w:val="24"/>
          <w:lang w:eastAsia="en-IN"/>
        </w:rPr>
        <w:t>Training of Human Resources in the Public Health-Care System in geriatric care.</w:t>
      </w:r>
    </w:p>
    <w:p w:rsidR="0050545A" w:rsidRDefault="0050545A"/>
    <w:sectPr w:rsidR="0050545A" w:rsidSect="00505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40369"/>
    <w:multiLevelType w:val="multilevel"/>
    <w:tmpl w:val="E4C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8B654C"/>
    <w:multiLevelType w:val="multilevel"/>
    <w:tmpl w:val="9FA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5E7D6B"/>
    <w:multiLevelType w:val="multilevel"/>
    <w:tmpl w:val="92D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481"/>
    <w:rsid w:val="001C2C97"/>
    <w:rsid w:val="00282481"/>
    <w:rsid w:val="0050545A"/>
    <w:rsid w:val="00EF7B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5A"/>
  </w:style>
  <w:style w:type="paragraph" w:styleId="Heading1">
    <w:name w:val="heading 1"/>
    <w:basedOn w:val="Normal"/>
    <w:link w:val="Heading1Char"/>
    <w:uiPriority w:val="9"/>
    <w:qFormat/>
    <w:rsid w:val="00282481"/>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2481"/>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248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24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248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82481"/>
    <w:rPr>
      <w:color w:val="0000FF"/>
      <w:u w:val="single"/>
    </w:rPr>
  </w:style>
  <w:style w:type="paragraph" w:customStyle="1" w:styleId="p">
    <w:name w:val="p"/>
    <w:basedOn w:val="Normal"/>
    <w:rsid w:val="0028248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8248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481"/>
    <w:rPr>
      <w:b/>
      <w:bCs/>
    </w:rPr>
  </w:style>
  <w:style w:type="character" w:customStyle="1" w:styleId="element-citation">
    <w:name w:val="element-citation"/>
    <w:basedOn w:val="DefaultParagraphFont"/>
    <w:rsid w:val="00282481"/>
  </w:style>
  <w:style w:type="character" w:customStyle="1" w:styleId="ref-journal">
    <w:name w:val="ref-journal"/>
    <w:basedOn w:val="DefaultParagraphFont"/>
    <w:rsid w:val="00282481"/>
  </w:style>
  <w:style w:type="character" w:customStyle="1" w:styleId="nowrap">
    <w:name w:val="nowrap"/>
    <w:basedOn w:val="DefaultParagraphFont"/>
    <w:rsid w:val="00282481"/>
  </w:style>
</w:styles>
</file>

<file path=word/webSettings.xml><?xml version="1.0" encoding="utf-8"?>
<w:webSettings xmlns:r="http://schemas.openxmlformats.org/officeDocument/2006/relationships" xmlns:w="http://schemas.openxmlformats.org/wordprocessingml/2006/main">
  <w:divs>
    <w:div w:id="1092972227">
      <w:bodyDiv w:val="1"/>
      <w:marLeft w:val="0"/>
      <w:marRight w:val="0"/>
      <w:marTop w:val="0"/>
      <w:marBottom w:val="0"/>
      <w:divBdr>
        <w:top w:val="none" w:sz="0" w:space="0" w:color="auto"/>
        <w:left w:val="none" w:sz="0" w:space="0" w:color="auto"/>
        <w:bottom w:val="none" w:sz="0" w:space="0" w:color="auto"/>
        <w:right w:val="none" w:sz="0" w:space="0" w:color="auto"/>
      </w:divBdr>
      <w:divsChild>
        <w:div w:id="1668286574">
          <w:marLeft w:val="0"/>
          <w:marRight w:val="0"/>
          <w:marTop w:val="0"/>
          <w:marBottom w:val="166"/>
          <w:divBdr>
            <w:top w:val="none" w:sz="0" w:space="0" w:color="auto"/>
            <w:left w:val="none" w:sz="0" w:space="0" w:color="auto"/>
            <w:bottom w:val="none" w:sz="0" w:space="0" w:color="auto"/>
            <w:right w:val="none" w:sz="0" w:space="0" w:color="auto"/>
          </w:divBdr>
          <w:divsChild>
            <w:div w:id="2120375102">
              <w:marLeft w:val="0"/>
              <w:marRight w:val="0"/>
              <w:marTop w:val="166"/>
              <w:marBottom w:val="166"/>
              <w:divBdr>
                <w:top w:val="none" w:sz="0" w:space="0" w:color="auto"/>
                <w:left w:val="none" w:sz="0" w:space="0" w:color="auto"/>
                <w:bottom w:val="none" w:sz="0" w:space="0" w:color="auto"/>
                <w:right w:val="none" w:sz="0" w:space="0" w:color="auto"/>
              </w:divBdr>
              <w:divsChild>
                <w:div w:id="1631546412">
                  <w:marLeft w:val="0"/>
                  <w:marRight w:val="0"/>
                  <w:marTop w:val="0"/>
                  <w:marBottom w:val="0"/>
                  <w:divBdr>
                    <w:top w:val="none" w:sz="0" w:space="0" w:color="auto"/>
                    <w:left w:val="none" w:sz="0" w:space="0" w:color="auto"/>
                    <w:bottom w:val="none" w:sz="0" w:space="0" w:color="auto"/>
                    <w:right w:val="none" w:sz="0" w:space="0" w:color="auto"/>
                  </w:divBdr>
                </w:div>
              </w:divsChild>
            </w:div>
            <w:div w:id="1956713517">
              <w:marLeft w:val="0"/>
              <w:marRight w:val="0"/>
              <w:marTop w:val="166"/>
              <w:marBottom w:val="166"/>
              <w:divBdr>
                <w:top w:val="none" w:sz="0" w:space="0" w:color="auto"/>
                <w:left w:val="none" w:sz="0" w:space="0" w:color="auto"/>
                <w:bottom w:val="none" w:sz="0" w:space="0" w:color="auto"/>
                <w:right w:val="none" w:sz="0" w:space="0" w:color="auto"/>
              </w:divBdr>
              <w:divsChild>
                <w:div w:id="1921602252">
                  <w:marLeft w:val="0"/>
                  <w:marRight w:val="0"/>
                  <w:marTop w:val="0"/>
                  <w:marBottom w:val="0"/>
                  <w:divBdr>
                    <w:top w:val="none" w:sz="0" w:space="0" w:color="auto"/>
                    <w:left w:val="none" w:sz="0" w:space="0" w:color="auto"/>
                    <w:bottom w:val="none" w:sz="0" w:space="0" w:color="auto"/>
                    <w:right w:val="none" w:sz="0" w:space="0" w:color="auto"/>
                  </w:divBdr>
                </w:div>
              </w:divsChild>
            </w:div>
            <w:div w:id="171192129">
              <w:marLeft w:val="0"/>
              <w:marRight w:val="0"/>
              <w:marTop w:val="332"/>
              <w:marBottom w:val="332"/>
              <w:divBdr>
                <w:top w:val="single" w:sz="6" w:space="5" w:color="EAC3AF"/>
                <w:left w:val="single" w:sz="6" w:space="8" w:color="EAC3AF"/>
                <w:bottom w:val="single" w:sz="6" w:space="5" w:color="EAC3AF"/>
                <w:right w:val="single" w:sz="6" w:space="8" w:color="EAC3AF"/>
              </w:divBdr>
              <w:divsChild>
                <w:div w:id="1571428384">
                  <w:marLeft w:val="0"/>
                  <w:marRight w:val="0"/>
                  <w:marTop w:val="0"/>
                  <w:marBottom w:val="0"/>
                  <w:divBdr>
                    <w:top w:val="none" w:sz="0" w:space="0" w:color="auto"/>
                    <w:left w:val="none" w:sz="0" w:space="0" w:color="auto"/>
                    <w:bottom w:val="none" w:sz="0" w:space="0" w:color="auto"/>
                    <w:right w:val="none" w:sz="0" w:space="0" w:color="auto"/>
                  </w:divBdr>
                  <w:divsChild>
                    <w:div w:id="293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9021">
          <w:marLeft w:val="0"/>
          <w:marRight w:val="0"/>
          <w:marTop w:val="0"/>
          <w:marBottom w:val="0"/>
          <w:divBdr>
            <w:top w:val="none" w:sz="0" w:space="0" w:color="auto"/>
            <w:left w:val="none" w:sz="0" w:space="0" w:color="auto"/>
            <w:bottom w:val="none" w:sz="0" w:space="0" w:color="auto"/>
            <w:right w:val="none" w:sz="0" w:space="0" w:color="auto"/>
          </w:divBdr>
        </w:div>
        <w:div w:id="1473719895">
          <w:marLeft w:val="0"/>
          <w:marRight w:val="0"/>
          <w:marTop w:val="0"/>
          <w:marBottom w:val="0"/>
          <w:divBdr>
            <w:top w:val="none" w:sz="0" w:space="0" w:color="auto"/>
            <w:left w:val="none" w:sz="0" w:space="0" w:color="auto"/>
            <w:bottom w:val="none" w:sz="0" w:space="0" w:color="auto"/>
            <w:right w:val="none" w:sz="0" w:space="0" w:color="auto"/>
          </w:divBdr>
          <w:divsChild>
            <w:div w:id="159043294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436364540">
                  <w:marLeft w:val="0"/>
                  <w:marRight w:val="0"/>
                  <w:marTop w:val="0"/>
                  <w:marBottom w:val="0"/>
                  <w:divBdr>
                    <w:top w:val="none" w:sz="0" w:space="0" w:color="auto"/>
                    <w:left w:val="none" w:sz="0" w:space="0" w:color="auto"/>
                    <w:bottom w:val="none" w:sz="0" w:space="0" w:color="auto"/>
                    <w:right w:val="none" w:sz="0" w:space="0" w:color="auto"/>
                  </w:divBdr>
                </w:div>
                <w:div w:id="453258564">
                  <w:marLeft w:val="0"/>
                  <w:marRight w:val="0"/>
                  <w:marTop w:val="332"/>
                  <w:marBottom w:val="332"/>
                  <w:divBdr>
                    <w:top w:val="none" w:sz="0" w:space="0" w:color="auto"/>
                    <w:left w:val="none" w:sz="0" w:space="0" w:color="auto"/>
                    <w:bottom w:val="none" w:sz="0" w:space="0" w:color="auto"/>
                    <w:right w:val="none" w:sz="0" w:space="0" w:color="auto"/>
                  </w:divBdr>
                </w:div>
                <w:div w:id="64790606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725526130">
          <w:marLeft w:val="0"/>
          <w:marRight w:val="0"/>
          <w:marTop w:val="166"/>
          <w:marBottom w:val="166"/>
          <w:divBdr>
            <w:top w:val="none" w:sz="0" w:space="0" w:color="auto"/>
            <w:left w:val="none" w:sz="0" w:space="0" w:color="auto"/>
            <w:bottom w:val="none" w:sz="0" w:space="0" w:color="auto"/>
            <w:right w:val="none" w:sz="0" w:space="0" w:color="auto"/>
          </w:divBdr>
        </w:div>
        <w:div w:id="1133673836">
          <w:marLeft w:val="0"/>
          <w:marRight w:val="0"/>
          <w:marTop w:val="0"/>
          <w:marBottom w:val="0"/>
          <w:divBdr>
            <w:top w:val="none" w:sz="0" w:space="0" w:color="auto"/>
            <w:left w:val="none" w:sz="0" w:space="0" w:color="auto"/>
            <w:bottom w:val="none" w:sz="0" w:space="0" w:color="auto"/>
            <w:right w:val="none" w:sz="0" w:space="0" w:color="auto"/>
          </w:divBdr>
          <w:divsChild>
            <w:div w:id="1561594826">
              <w:marLeft w:val="0"/>
              <w:marRight w:val="0"/>
              <w:marTop w:val="166"/>
              <w:marBottom w:val="166"/>
              <w:divBdr>
                <w:top w:val="none" w:sz="0" w:space="0" w:color="auto"/>
                <w:left w:val="none" w:sz="0" w:space="0" w:color="auto"/>
                <w:bottom w:val="none" w:sz="0" w:space="0" w:color="auto"/>
                <w:right w:val="none" w:sz="0" w:space="0" w:color="auto"/>
              </w:divBdr>
            </w:div>
            <w:div w:id="1025060378">
              <w:marLeft w:val="0"/>
              <w:marRight w:val="0"/>
              <w:marTop w:val="166"/>
              <w:marBottom w:val="166"/>
              <w:divBdr>
                <w:top w:val="none" w:sz="0" w:space="0" w:color="auto"/>
                <w:left w:val="none" w:sz="0" w:space="0" w:color="auto"/>
                <w:bottom w:val="none" w:sz="0" w:space="0" w:color="auto"/>
                <w:right w:val="none" w:sz="0" w:space="0" w:color="auto"/>
              </w:divBdr>
            </w:div>
            <w:div w:id="787817718">
              <w:marLeft w:val="0"/>
              <w:marRight w:val="0"/>
              <w:marTop w:val="166"/>
              <w:marBottom w:val="166"/>
              <w:divBdr>
                <w:top w:val="none" w:sz="0" w:space="0" w:color="auto"/>
                <w:left w:val="none" w:sz="0" w:space="0" w:color="auto"/>
                <w:bottom w:val="none" w:sz="0" w:space="0" w:color="auto"/>
                <w:right w:val="none" w:sz="0" w:space="0" w:color="auto"/>
              </w:divBdr>
            </w:div>
            <w:div w:id="117115979">
              <w:marLeft w:val="0"/>
              <w:marRight w:val="0"/>
              <w:marTop w:val="166"/>
              <w:marBottom w:val="166"/>
              <w:divBdr>
                <w:top w:val="none" w:sz="0" w:space="0" w:color="auto"/>
                <w:left w:val="none" w:sz="0" w:space="0" w:color="auto"/>
                <w:bottom w:val="none" w:sz="0" w:space="0" w:color="auto"/>
                <w:right w:val="none" w:sz="0" w:space="0" w:color="auto"/>
              </w:divBdr>
            </w:div>
            <w:div w:id="62705548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843295/" TargetMode="External"/><Relationship Id="rId13" Type="http://schemas.openxmlformats.org/officeDocument/2006/relationships/hyperlink" Target="https://www.ncbi.nlm.nih.gov/pmc/articles/PMC384329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843295/" TargetMode="External"/><Relationship Id="rId12" Type="http://schemas.openxmlformats.org/officeDocument/2006/relationships/hyperlink" Target="https://www.ncbi.nlm.nih.gov/pmc/articles/PMC3843295/" TargetMode="External"/><Relationship Id="rId17" Type="http://schemas.openxmlformats.org/officeDocument/2006/relationships/hyperlink" Target="https://www.ncbi.nlm.nih.gov/pmc/articles/PMC3843295/" TargetMode="External"/><Relationship Id="rId2" Type="http://schemas.openxmlformats.org/officeDocument/2006/relationships/styles" Target="styles.xml"/><Relationship Id="rId16" Type="http://schemas.openxmlformats.org/officeDocument/2006/relationships/hyperlink" Target="https://www.ncbi.nlm.nih.gov/pmc/articles/PMC3843295/" TargetMode="External"/><Relationship Id="rId1" Type="http://schemas.openxmlformats.org/officeDocument/2006/relationships/numbering" Target="numbering.xml"/><Relationship Id="rId6" Type="http://schemas.openxmlformats.org/officeDocument/2006/relationships/hyperlink" Target="https://www.ncbi.nlm.nih.gov/pmc/articles/PMC3843295/" TargetMode="External"/><Relationship Id="rId11" Type="http://schemas.openxmlformats.org/officeDocument/2006/relationships/hyperlink" Target="https://www.ncbi.nlm.nih.gov/pmc/articles/PMC3843295/" TargetMode="External"/><Relationship Id="rId5" Type="http://schemas.openxmlformats.org/officeDocument/2006/relationships/hyperlink" Target="https://www.ncbi.nlm.nih.gov/pubmed/?term=Verma%20R%5BAuthor%5D&amp;cauthor=true&amp;cauthor_uid=24319548" TargetMode="External"/><Relationship Id="rId15" Type="http://schemas.openxmlformats.org/officeDocument/2006/relationships/hyperlink" Target="https://www.ncbi.nlm.nih.gov/pmc/articles/PMC3843295/" TargetMode="External"/><Relationship Id="rId10" Type="http://schemas.openxmlformats.org/officeDocument/2006/relationships/hyperlink" Target="https://www.ncbi.nlm.nih.gov/pmc/articles/PMC3843295/citedb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bout/disclaimer/" TargetMode="External"/><Relationship Id="rId14" Type="http://schemas.openxmlformats.org/officeDocument/2006/relationships/hyperlink" Target="https://www.ncbi.nlm.nih.gov/pmc/articles/PMC3843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2020-03-22T18:38:00Z</dcterms:created>
  <dcterms:modified xsi:type="dcterms:W3CDTF">2020-03-22T19:14:00Z</dcterms:modified>
</cp:coreProperties>
</file>