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ind w:left="0" w:hanging="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№11</w:t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ind w:left="0" w:hanging="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Тема 11: Хранилище данных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Выполните ПР3. Создавать таблицы не нужно, решаем в теории. Сохранить в репозитории отдельным файлом.</w:t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Автобусный парк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Drivers_dim (IDDriver, PassportNo, Address, PhoneNumber, DriverLicenseNo, LicenseCategory)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Buses_dim (IDBus, CommisionDate, Color, EngineVolume, TechCertificateDate)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GasStations_Dim(IDStation, GasStName, GasStAddress)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Root_dim (IDRoot, StartPoint, EndPoint, Time_on_the_way)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Conductor_dim (IDConductor, PassportNo, FullName, PhoneNumber)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FuelRefill_fct (IDRefill, FuelType, Quantity, IDStation, Date, IDBus)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Rides_fct(IDRide, IDDriver, IDBus, IDRoot, IDConductor, Date)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Вывести топ 10 водителей, проехавших больше всего часов на маршрутах за 2021 год.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/>
      </w:pPr>
      <w:r>
        <w:rPr>
          <w:rFonts w:ascii="Monospace" w:hAnsi="Monospace"/>
          <w:b/>
          <w:color w:val="800000"/>
          <w:sz w:val="20"/>
          <w:szCs w:val="20"/>
        </w:rPr>
        <w:t>SELECT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800000"/>
          <w:sz w:val="20"/>
          <w:szCs w:val="20"/>
        </w:rPr>
        <w:t>distinct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800000"/>
          <w:sz w:val="20"/>
          <w:szCs w:val="20"/>
        </w:rPr>
        <w:t>top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FF"/>
          <w:sz w:val="20"/>
          <w:szCs w:val="20"/>
        </w:rPr>
        <w:t>10</w:t>
      </w:r>
      <w:r>
        <w:rPr>
          <w:rFonts w:ascii="Monospace" w:hAnsi="Monospace"/>
          <w:color w:val="000000"/>
          <w:sz w:val="20"/>
          <w:szCs w:val="20"/>
        </w:rPr>
        <w:t xml:space="preserve"> IDDriver, sum_Time</w:t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/>
      </w:pPr>
      <w:r>
        <w:rPr>
          <w:rFonts w:ascii="Monospace" w:hAnsi="Monospace"/>
          <w:color w:val="000000"/>
          <w:sz w:val="20"/>
        </w:rPr>
        <w:tab/>
        <w:t>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IDDriver, 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(Time_on_the_way) </w:t>
      </w:r>
      <w:r>
        <w:rPr>
          <w:rFonts w:ascii="Monospace" w:hAnsi="Monospace"/>
          <w:b/>
          <w:color w:val="800000"/>
          <w:sz w:val="20"/>
        </w:rPr>
        <w:t>OVER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PARTITION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 IDDriver)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sum_Time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Rides_fct rf </w:t>
      </w:r>
      <w:r>
        <w:rPr>
          <w:rFonts w:ascii="Monospace" w:hAnsi="Monospace"/>
          <w:b/>
          <w:color w:val="80000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Root_dim rd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 rf.IDRoot=rd.IDRoot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YEAR</w:t>
      </w:r>
      <w:r>
        <w:rPr>
          <w:rFonts w:ascii="Monospace" w:hAnsi="Monospace"/>
          <w:color w:val="000000"/>
          <w:sz w:val="20"/>
        </w:rPr>
        <w:t>([Date])=</w:t>
      </w:r>
      <w:r>
        <w:rPr>
          <w:rFonts w:ascii="Monospace" w:hAnsi="Monospace"/>
          <w:color w:val="0000FF"/>
          <w:sz w:val="20"/>
        </w:rPr>
        <w:t>2021</w:t>
      </w:r>
      <w:r>
        <w:rPr>
          <w:rFonts w:ascii="Monospace" w:hAnsi="Monospace"/>
          <w:color w:val="000000"/>
          <w:sz w:val="20"/>
        </w:rPr>
        <w:t>) T</w:t>
      </w:r>
    </w:p>
    <w:p>
      <w:pPr>
        <w:pStyle w:val="Normal"/>
        <w:widowControl/>
        <w:bidi w:val="0"/>
        <w:spacing w:lineRule="auto" w:line="259" w:before="0" w:after="160"/>
        <w:ind w:left="-567" w:right="0"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sum_Time </w:t>
      </w:r>
      <w:r>
        <w:rPr>
          <w:rFonts w:ascii="Monospace" w:hAnsi="Monospace"/>
          <w:b/>
          <w:color w:val="800000"/>
          <w:sz w:val="20"/>
        </w:rPr>
        <w:t>DESC</w:t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>Вывести сумму литров бензина, купленных на заправках по разным его типам.Результаты вывести в виде транспонированной таблицы (оси - тип топлива, название заправки)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/>
      </w:pPr>
      <w:r>
        <w:rPr>
          <w:rFonts w:ascii="Monospace" w:hAnsi="Monospace"/>
          <w:b/>
          <w:color w:val="800000"/>
          <w:sz w:val="20"/>
          <w:szCs w:val="20"/>
        </w:rPr>
        <w:t>SELECT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80"/>
          <w:sz w:val="20"/>
          <w:szCs w:val="20"/>
        </w:rPr>
        <w:t>[FuelType]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80"/>
          <w:sz w:val="20"/>
          <w:szCs w:val="20"/>
        </w:rPr>
        <w:t>[st1]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80"/>
          <w:sz w:val="20"/>
          <w:szCs w:val="20"/>
        </w:rPr>
        <w:t>[st2]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80"/>
          <w:sz w:val="20"/>
          <w:szCs w:val="20"/>
        </w:rPr>
        <w:t>[st3]</w:t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GasStName, FuelType, sum_quan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GasStName, FuelType, 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(Quantity) </w:t>
      </w:r>
      <w:r>
        <w:rPr>
          <w:rFonts w:ascii="Monospace" w:hAnsi="Monospace"/>
          <w:b/>
          <w:color w:val="800000"/>
          <w:sz w:val="20"/>
        </w:rPr>
        <w:t>OVER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PARTITION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FuelType, </w:t>
        <w:tab/>
        <w:t xml:space="preserve">GasStName)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sum_quan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FuelRefill_fct FR </w:t>
      </w:r>
      <w:r>
        <w:rPr>
          <w:rFonts w:ascii="Monospace" w:hAnsi="Monospace"/>
          <w:b/>
          <w:color w:val="800000"/>
          <w:sz w:val="20"/>
        </w:rPr>
        <w:t>LEFT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GasStations_Dim GS </w:t>
      </w:r>
      <w:r>
        <w:rPr>
          <w:rFonts w:ascii="Monospace" w:hAnsi="Monospace"/>
          <w:b/>
          <w:color w:val="800000"/>
          <w:sz w:val="20"/>
        </w:rPr>
        <w:t xml:space="preserve">ON </w:t>
        <w:tab/>
        <w:tab/>
      </w:r>
      <w:r>
        <w:rPr>
          <w:rFonts w:ascii="Monospace" w:hAnsi="Monospace"/>
          <w:color w:val="000000"/>
          <w:sz w:val="20"/>
        </w:rPr>
        <w:t xml:space="preserve">FR.IDStation=GS.IDStation) t) s </w:t>
      </w:r>
    </w:p>
    <w:p>
      <w:pPr>
        <w:pStyle w:val="Normal"/>
        <w:widowControl/>
        <w:bidi w:val="0"/>
        <w:spacing w:lineRule="auto" w:line="259" w:before="0" w:after="160"/>
        <w:ind w:left="-567" w:right="0"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PIVOT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(sum_quan)</w:t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  <w:szCs w:val="20"/>
        </w:rPr>
        <w:tab/>
        <w:t>FOR</w:t>
      </w:r>
      <w:r>
        <w:rPr>
          <w:rFonts w:ascii="Monospace" w:hAnsi="Monospace"/>
          <w:color w:val="000000"/>
          <w:sz w:val="20"/>
          <w:szCs w:val="20"/>
        </w:rPr>
        <w:t xml:space="preserve"> GasStName </w:t>
      </w:r>
      <w:r>
        <w:rPr>
          <w:rFonts w:ascii="Monospace" w:hAnsi="Monospace"/>
          <w:b/>
          <w:color w:val="800000"/>
          <w:sz w:val="20"/>
          <w:szCs w:val="20"/>
        </w:rPr>
        <w:t>IN</w:t>
      </w:r>
      <w:r>
        <w:rPr>
          <w:rFonts w:ascii="Monospace" w:hAnsi="Monospace"/>
          <w:color w:val="000000"/>
          <w:sz w:val="20"/>
          <w:szCs w:val="20"/>
        </w:rPr>
        <w:t xml:space="preserve"> (</w:t>
      </w:r>
      <w:r>
        <w:rPr>
          <w:rFonts w:ascii="Monospace" w:hAnsi="Monospace"/>
          <w:color w:val="000080"/>
          <w:sz w:val="20"/>
          <w:szCs w:val="20"/>
        </w:rPr>
        <w:t>[st1]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80"/>
          <w:sz w:val="20"/>
          <w:szCs w:val="20"/>
        </w:rPr>
        <w:t>[st2]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80"/>
          <w:sz w:val="20"/>
          <w:szCs w:val="20"/>
        </w:rPr>
        <w:t>[st3]</w:t>
      </w:r>
      <w:r>
        <w:rPr>
          <w:rFonts w:ascii="Monospace" w:hAnsi="Monospace"/>
          <w:color w:val="000000"/>
          <w:sz w:val="20"/>
          <w:szCs w:val="20"/>
        </w:rPr>
        <w:t>)) pvt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3. ЗАДАЧА НА MERGE 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  <w:szCs w:val="20"/>
        </w:rPr>
        <w:t>CREATE</w:t>
      </w:r>
      <w:r>
        <w:rPr>
          <w:rFonts w:ascii="Monospace" w:hAnsi="Monospace"/>
          <w:color w:val="000000"/>
          <w:sz w:val="20"/>
          <w:szCs w:val="20"/>
        </w:rPr>
        <w:t xml:space="preserve"> </w:t>
      </w:r>
      <w:r>
        <w:rPr>
          <w:rFonts w:ascii="Monospace" w:hAnsi="Monospace"/>
          <w:b/>
          <w:color w:val="800000"/>
          <w:sz w:val="20"/>
          <w:szCs w:val="20"/>
        </w:rPr>
        <w:t>TABLE</w:t>
      </w:r>
      <w:r>
        <w:rPr>
          <w:rFonts w:ascii="Monospace" w:hAnsi="Monospace"/>
          <w:color w:val="000000"/>
          <w:sz w:val="20"/>
          <w:szCs w:val="20"/>
        </w:rPr>
        <w:t xml:space="preserve"> DZ11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(Fuction_name </w:t>
      </w:r>
      <w:r>
        <w:rPr>
          <w:rFonts w:ascii="Monospace" w:hAnsi="Monospace"/>
          <w:b/>
          <w:color w:val="000080"/>
          <w:sz w:val="20"/>
        </w:rPr>
        <w:t>NVARCHAR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20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Function_count </w:t>
      </w:r>
      <w:r>
        <w:rPr>
          <w:rFonts w:ascii="Monospace" w:hAnsi="Monospace"/>
          <w:b/>
          <w:color w:val="000080"/>
          <w:sz w:val="20"/>
        </w:rPr>
        <w:t>INT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Alex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.Alex)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.Alex,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Barbara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.Barbara)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.Barbara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.Barbara,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  <w:u w:val="single"/>
        </w:rPr>
        <w:t>MERGE</w:t>
      </w:r>
      <w:r>
        <w:rPr>
          <w:rFonts w:ascii="Monospace" w:hAnsi="Monospace"/>
          <w:color w:val="000000"/>
          <w:sz w:val="20"/>
          <w:u w:val="single"/>
        </w:rPr>
        <w:t xml:space="preserve"> mybase.dbo.DZ11 </w:t>
      </w:r>
      <w:r>
        <w:rPr>
          <w:rFonts w:ascii="Monospace" w:hAnsi="Monospace"/>
          <w:b/>
          <w:color w:val="800000"/>
          <w:sz w:val="20"/>
          <w:u w:val="single"/>
        </w:rPr>
        <w:t>AS</w:t>
      </w:r>
      <w:r>
        <w:rPr>
          <w:rFonts w:ascii="Monospace" w:hAnsi="Monospace"/>
          <w:color w:val="000000"/>
          <w:sz w:val="20"/>
          <w:u w:val="single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Chris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.Chris)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.Chris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.Chris,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Donna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.Donna)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.Donna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.Donna,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Elton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.Elton)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.Elton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.Elton,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Fred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.Fred)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.Fred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.Fred,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George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.George)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.George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.George,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Harry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.Harry)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.Harry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.Harry,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Irys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.Irys)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.Irys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.Irys,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MERGE</w:t>
      </w:r>
      <w:r>
        <w:rPr>
          <w:rFonts w:ascii="Monospace" w:hAnsi="Monospace"/>
          <w:color w:val="000000"/>
          <w:sz w:val="20"/>
        </w:rPr>
        <w:t xml:space="preserve"> mybase.dbo.DZ11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Target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USING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Elton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mybase.dbo.data_for_merge)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(Target.Fuction_name =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>.Elton)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THEN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Target.Function_count +=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b/>
          <w:color w:val="800000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MATCHED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.Donna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THEN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(Fuction_name, Function_count)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000000"/>
          <w:sz w:val="20"/>
        </w:rPr>
        <w:t xml:space="preserve">.Elton,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       </w:t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40" w:before="0" w:after="160"/>
        <w:ind w:left="-567" w:right="0" w:hanging="0"/>
        <w:contextualSpacing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cc2ed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c2ed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0e5bb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e5b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0e5b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a487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Application>LibreOffice/6.4.7.2$Linux_X86_64 LibreOffice_project/40$Build-2</Application>
  <Pages>4</Pages>
  <Words>561</Words>
  <Characters>4006</Characters>
  <CharactersWithSpaces>4776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2022-10-09T22:04:18Z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