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6192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333375"/>
                    </a:xfrm>
                    <a:prstGeom prst="rect">
                      <a:avLst/>
                    </a:prstGeom>
                  </pic:spPr>
                </pic:pic>
              </a:graphicData>
            </a:graphic>
          </wp:inline>
        </w:drawing>
      </w:r>
    </w:p>
    <w:p>
      <w:pPr>
        <w:spacing w:after="700"/>
        <w:jc w:val="center"/>
      </w:pPr>
      <w:r>
        <w:rPr>
          <w:rFonts w:ascii="標楷體" w:cs="標楷體" w:eastAsia="標楷體" w:hAnsi="標楷體"/>
          <w:b/>
          <w:bCs/>
          <w:sz w:val="28"/>
          <w:szCs w:val="28"/>
        </w:rPr>
        <w:t xml:space="preserve">光田醫療社團法人　光田綜合醫院</w:t>
      </w:r>
    </w:p>
    <w:p>
      <w:pPr>
        <w:spacing w:after="100"/>
        <w:jc w:val="center"/>
      </w:pPr>
      <w:r>
        <w:rPr>
          <w:rFonts w:ascii="標楷體" w:cs="標楷體" w:eastAsia="標楷體" w:hAnsi="標楷體"/>
          <w:b/>
          <w:bCs/>
          <w:sz w:val="30"/>
          <w:szCs w:val="30"/>
        </w:rPr>
        <w:t xml:space="preserve">ISO 50001 能源管理系統</w:t>
      </w:r>
    </w:p>
    <w:p>
      <w:pPr>
        <w:spacing w:after="760"/>
        <w:jc w:val="center"/>
      </w:pPr>
      <w:r>
        <w:rPr>
          <w:rFonts w:ascii="標楷體" w:cs="標楷體" w:eastAsia="標楷體" w:hAnsi="標楷體"/>
          <w:b/>
          <w:bCs/>
          <w:sz w:val="48"/>
          <w:szCs w:val="48"/>
        </w:rPr>
        <w:t xml:space="preserve">能 源 管 理 手 冊</w:t>
      </w: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4512"/>
        <w:gridCol w:w="1600"/>
        <w:gridCol w:w="1200"/>
      </w:tblGrid>
      <w:tr>
        <w:tc>
          <w:tcPr>
            <w:tcW w:type="dxa" w:w="10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版次</w:t>
            </w:r>
          </w:p>
        </w:tc>
        <w:tc>
          <w:tcPr>
            <w:tcW w:type="dxa" w:w="4512"/>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修改摘要</w:t>
            </w:r>
          </w:p>
        </w:tc>
        <w:tc>
          <w:tcPr>
            <w:tcW w:type="dxa" w:w="16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日期</w:t>
            </w:r>
          </w:p>
        </w:tc>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備註</w:t>
            </w:r>
          </w:p>
        </w:tc>
      </w:tr>
      <w:tr>
        <w:tc>
          <w:tcPr>
            <w:tcW w:type="dxa" w:w="10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第一版</w:t>
            </w:r>
          </w:p>
        </w:tc>
        <w:tc>
          <w:tcPr>
            <w:tcW w:type="dxa" w:w="4512"/>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0"/>
                <w:szCs w:val="20"/>
              </w:rPr>
              <w:t xml:space="preserve">新增（共 8 頁）－依衛生福利部114年綠色醫療永續規劃暨教育訓練補助計畫制定</w:t>
            </w:r>
          </w:p>
        </w:tc>
        <w:tc>
          <w:tcPr>
            <w:tcW w:type="dxa" w:w="16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115年03月</w:t>
            </w:r>
          </w:p>
        </w:tc>
        <w:tc>
          <w:tcPr>
            <w:tcW w:type="dxa" w:w="12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r>
        <w:trPr>
          <w:trHeight w:val="420" w:hRule="atLeast"/>
        </w:trPr>
        <w:tc>
          <w:tcPr>
            <w:tcW w:type="dxa" w:w="10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第二版</w:t>
            </w:r>
          </w:p>
        </w:tc>
        <w:tc>
          <w:tcPr>
            <w:tcW w:type="dxa" w:w="4512"/>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16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12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r>
        <w:trPr>
          <w:trHeight w:val="420" w:hRule="atLeast"/>
        </w:trPr>
        <w:tc>
          <w:tcPr>
            <w:tcW w:type="dxa" w:w="10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第三版</w:t>
            </w:r>
          </w:p>
        </w:tc>
        <w:tc>
          <w:tcPr>
            <w:tcW w:type="dxa" w:w="4512"/>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16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12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bl>
    <w:p>
      <w:pPr>
        <w:spacing w:after="480"/>
      </w:pP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3400"/>
        <w:gridCol w:w="1200"/>
        <w:gridCol w:w="2512"/>
      </w:tblGrid>
      <w:tr>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文件類別</w:t>
            </w:r>
          </w:p>
        </w:tc>
        <w:tc>
          <w:tcPr>
            <w:tcW w:type="dxa" w:w="34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0"/>
                <w:szCs w:val="20"/>
              </w:rPr>
              <w:t xml:space="preserve">■品質手冊　　□作業程序書</w:t>
            </w:r>
          </w:p>
          <w:p>
            <w:pPr>
              <w:spacing w:line="240"/>
              <w:jc w:val="left"/>
            </w:pPr>
            <w:r>
              <w:rPr>
                <w:rFonts w:ascii="標楷體" w:cs="標楷體" w:eastAsia="標楷體" w:hAnsi="標楷體"/>
                <w:b w:val="false"/>
                <w:bCs w:val="false"/>
                <w:sz w:val="20"/>
                <w:szCs w:val="20"/>
              </w:rPr>
              <w:t xml:space="preserve">□作業指導書　□組織章程</w:t>
            </w:r>
          </w:p>
        </w:tc>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文件編號</w:t>
            </w:r>
          </w:p>
        </w:tc>
        <w:tc>
          <w:tcPr>
            <w:tcW w:type="dxa" w:w="2512"/>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1D10ATQ0001-(01)</w:t>
            </w:r>
          </w:p>
        </w:tc>
      </w:tr>
      <w:tr>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機密等級</w:t>
            </w:r>
          </w:p>
        </w:tc>
        <w:tc>
          <w:tcPr>
            <w:tcW w:type="dxa" w:w="34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0"/>
                <w:szCs w:val="20"/>
              </w:rPr>
              <w:t xml:space="preserve">□機密　■內部使用　□一般</w:t>
            </w:r>
          </w:p>
        </w:tc>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制定日期</w:t>
            </w:r>
          </w:p>
        </w:tc>
        <w:tc>
          <w:tcPr>
            <w:tcW w:type="dxa" w:w="2512"/>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115年03月</w:t>
            </w:r>
          </w:p>
        </w:tc>
      </w:tr>
      <w:tr>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部科類別</w:t>
            </w:r>
          </w:p>
        </w:tc>
        <w:tc>
          <w:tcPr>
            <w:tcW w:type="dxa" w:w="34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0"/>
                <w:szCs w:val="20"/>
              </w:rPr>
              <w:t xml:space="preserve">□委員會　□醫療類　□護理類</w:t>
            </w:r>
          </w:p>
          <w:p>
            <w:pPr>
              <w:spacing w:line="240"/>
              <w:jc w:val="left"/>
            </w:pPr>
            <w:r>
              <w:rPr>
                <w:rFonts w:ascii="標楷體" w:cs="標楷體" w:eastAsia="標楷體" w:hAnsi="標楷體"/>
                <w:b w:val="false"/>
                <w:bCs w:val="false"/>
                <w:sz w:val="20"/>
                <w:szCs w:val="20"/>
              </w:rPr>
              <w:t xml:space="preserve">□醫技類　■行政類</w:t>
            </w:r>
          </w:p>
        </w:tc>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制定單位</w:t>
            </w:r>
          </w:p>
        </w:tc>
        <w:tc>
          <w:tcPr>
            <w:tcW w:type="dxa" w:w="2512"/>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總務部</w:t>
            </w:r>
          </w:p>
        </w:tc>
      </w:tr>
      <w:tr>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管制類別</w:t>
            </w:r>
          </w:p>
        </w:tc>
        <w:tc>
          <w:tcPr>
            <w:tcW w:type="dxa" w:w="34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0"/>
                <w:szCs w:val="20"/>
              </w:rPr>
              <w:t xml:space="preserve">■院內管制　　□部科室管制</w:t>
            </w:r>
          </w:p>
        </w:tc>
        <w:tc>
          <w:tcPr>
            <w:tcW w:type="dxa" w:w="1200"/>
            <w:vMerge w:val="restart"/>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適用院區</w:t>
            </w:r>
          </w:p>
        </w:tc>
        <w:tc>
          <w:tcPr>
            <w:tcW w:type="dxa" w:w="2512"/>
            <w:vMerge w:val="restart"/>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■沙鹿　■大甲　■長青</w:t>
            </w:r>
          </w:p>
        </w:tc>
      </w:tr>
      <w:tr>
        <w:tc>
          <w:tcPr>
            <w:tcW w:type="dxa" w:w="12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文件年限</w:t>
            </w:r>
          </w:p>
        </w:tc>
        <w:tc>
          <w:tcPr>
            <w:tcW w:type="dxa" w:w="34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0"/>
                <w:szCs w:val="20"/>
              </w:rPr>
              <w:t xml:space="preserve">□一年　　　　■二年</w:t>
            </w:r>
          </w:p>
        </w:tc>
        <w:tc>
          <w:tcPr>
            <w:tcW w:type="dxa" w:w="1200"/>
            <w:vMerge w:val="continue"/>
            <w:shd w:fill="E8E8E8" w:color="auto" w:val="clear"/>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12"/>
            <w:vMerge w:val="continue"/>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bl>
    <w:p>
      <w:pPr>
        <w:spacing w:after="300"/>
      </w:pP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2504"/>
        <w:gridCol w:w="2504"/>
        <w:gridCol w:w="2504"/>
      </w:tblGrid>
      <w:tr>
        <w:tc>
          <w:tcPr>
            <w:tcW w:type="dxa" w:w="800"/>
            <w:vMerge w:val="restart"/>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版　次</w:t>
            </w:r>
          </w:p>
        </w:tc>
        <w:tc>
          <w:tcPr>
            <w:tcW w:type="dxa" w:w="2504"/>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核　准</w:t>
            </w:r>
          </w:p>
        </w:tc>
        <w:tc>
          <w:tcPr>
            <w:tcW w:type="dxa" w:w="2504"/>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審　核</w:t>
            </w:r>
          </w:p>
        </w:tc>
        <w:tc>
          <w:tcPr>
            <w:tcW w:type="dxa" w:w="2504"/>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2"/>
                <w:szCs w:val="22"/>
              </w:rPr>
              <w:t xml:space="preserve">制　定</w:t>
            </w:r>
          </w:p>
        </w:tc>
      </w:tr>
      <w:tr>
        <w:tc>
          <w:tcPr>
            <w:tcW w:type="dxa" w:w="800"/>
            <w:vMerge w:val="continue"/>
            <w:shd w:fill="E8E8E8" w:color="auto" w:val="clear"/>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總院長</w:t>
            </w:r>
          </w:p>
        </w:tc>
        <w:tc>
          <w:tcPr>
            <w:tcW w:type="dxa" w:w="2504"/>
            <w:tcMar>
              <w:top w:type="dxa" w:w="50"/>
              <w:left w:type="dxa" w:w="80"/>
              <w:bottom w:type="dxa" w:w="50"/>
              <w:right w:type="dxa" w:w="80"/>
            </w:tcMar>
            <w:vAlign w:val="center"/>
          </w:tcPr>
          <w:p>
            <w:pPr>
              <w:spacing w:line="240"/>
              <w:jc w:val="center"/>
            </w:pPr>
            <w:r>
              <w:rPr>
                <w:rFonts w:ascii="標楷體" w:cs="標楷體" w:eastAsia="標楷體" w:hAnsi="標楷體"/>
                <w:b/>
                <w:bCs/>
                <w:sz w:val="18"/>
                <w:szCs w:val="18"/>
              </w:rPr>
              <w:t xml:space="preserve">ISO 50001管理代表</w:t>
            </w:r>
          </w:p>
        </w:tc>
        <w:tc>
          <w:tcPr>
            <w:tcW w:type="dxa" w:w="2504"/>
            <w:tcMar>
              <w:top w:type="dxa" w:w="50"/>
              <w:left w:type="dxa" w:w="80"/>
              <w:bottom w:type="dxa" w:w="50"/>
              <w:right w:type="dxa" w:w="80"/>
            </w:tcMar>
            <w:vAlign w:val="center"/>
          </w:tcPr>
          <w:p>
            <w:pPr>
              <w:spacing w:line="240"/>
              <w:jc w:val="center"/>
            </w:pPr>
            <w:r>
              <w:rPr>
                <w:rFonts w:ascii="標楷體" w:cs="標楷體" w:eastAsia="標楷體" w:hAnsi="標楷體"/>
                <w:b/>
                <w:bCs/>
                <w:sz w:val="18"/>
                <w:szCs w:val="18"/>
              </w:rPr>
              <w:t xml:space="preserve">制定者（總務部）</w:t>
            </w:r>
          </w:p>
        </w:tc>
      </w:tr>
      <w:tr>
        <w:trPr>
          <w:trHeight w:val="900" w:hRule="atLeast"/>
        </w:trPr>
        <w:tc>
          <w:tcPr>
            <w:tcW w:type="dxa" w:w="8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第一版</w:t>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r>
        <w:trPr>
          <w:trHeight w:val="900" w:hRule="atLeast"/>
        </w:trPr>
        <w:tc>
          <w:tcPr>
            <w:tcW w:type="dxa" w:w="8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第二版</w:t>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r>
        <w:trPr>
          <w:trHeight w:val="900" w:hRule="atLeast"/>
        </w:trPr>
        <w:tc>
          <w:tcPr>
            <w:tcW w:type="dxa" w:w="8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2"/>
                <w:szCs w:val="22"/>
              </w:rPr>
              <w:t xml:space="preserve">第三版</w:t>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2504"/>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r>
    </w:tbl>
    <w:p>
      <w:pPr>
        <w:sectPr>
          <w:footerReference w:type="default" r:id="rId7"/>
          <w:pgSz w:w="11906" w:h="16838" w:orient="portrait"/>
          <w:pgMar w:top="1440" w:right="1797" w:bottom="1440" w:left="1797" w:header="720" w:footer="567" w:gutter="0"/>
          <w:pgNumType/>
          <w:docGrid w:linePitch="360"/>
        </w:sectPr>
      </w:pPr>
    </w:p>
    <w:p>
      <w:pPr>
        <w:keepNext/>
        <w:spacing w:after="50" w:before="150" w:line="240"/>
      </w:pPr>
      <w:r>
        <w:rPr>
          <w:rFonts w:ascii="標楷體" w:cs="標楷體" w:eastAsia="標楷體" w:hAnsi="標楷體"/>
          <w:b/>
          <w:bCs/>
          <w:sz w:val="24"/>
          <w:szCs w:val="24"/>
        </w:rPr>
        <w:t xml:space="preserve">1.目　　的：</w:t>
      </w:r>
    </w:p>
    <w:p>
      <w:pPr>
        <w:keepNext w:val="false"/>
        <w:spacing w:after="0" w:before="50" w:line="240"/>
        <w:ind w:left="720" w:hanging="240"/>
      </w:pPr>
      <w:r>
        <w:rPr>
          <w:rFonts w:ascii="標楷體" w:cs="標楷體" w:eastAsia="標楷體" w:hAnsi="標楷體"/>
          <w:b w:val="false"/>
          <w:bCs w:val="false"/>
          <w:sz w:val="24"/>
          <w:szCs w:val="24"/>
        </w:rPr>
        <w:t xml:space="preserve">1.1 本手冊為本院 ISO 50001 能源管理系統之最高階文件，用以宣示本院能源政策與目標，界定能源管理系統之範疇與邊界，說明系統之組織架構、權責分工及各項管理機制，並作為本院各階文件之綱領。</w:t>
      </w:r>
    </w:p>
    <w:p>
      <w:pPr>
        <w:keepNext w:val="false"/>
        <w:spacing w:after="0" w:before="50" w:line="240"/>
        <w:ind w:left="720" w:hanging="240"/>
      </w:pPr>
      <w:r>
        <w:rPr>
          <w:rFonts w:ascii="標楷體" w:cs="標楷體" w:eastAsia="標楷體" w:hAnsi="標楷體"/>
          <w:b w:val="false"/>
          <w:bCs w:val="false"/>
          <w:sz w:val="24"/>
          <w:szCs w:val="24"/>
        </w:rPr>
        <w:t xml:space="preserve">1.2 本手冊依 ISO 50001:2018 能源管理系統－附使用指引之要求事項（Energy management systems－Requirements with guidance for use）建立，以持續改進本院能源績效、提升能源使用效率，並符合法規要求事項及其他要求事項。</w:t>
      </w:r>
    </w:p>
    <w:p>
      <w:pPr>
        <w:keepNext/>
        <w:spacing w:after="50" w:before="150" w:line="240"/>
      </w:pPr>
      <w:r>
        <w:rPr>
          <w:rFonts w:ascii="標楷體" w:cs="標楷體" w:eastAsia="標楷體" w:hAnsi="標楷體"/>
          <w:b/>
          <w:bCs/>
          <w:sz w:val="24"/>
          <w:szCs w:val="24"/>
        </w:rPr>
        <w:t xml:space="preserve">2.適用範圍：</w:t>
      </w:r>
    </w:p>
    <w:p>
      <w:pPr>
        <w:keepNext w:val="false"/>
        <w:spacing w:after="0" w:before="50" w:line="240"/>
        <w:ind w:left="720" w:hanging="240"/>
      </w:pPr>
      <w:r>
        <w:rPr>
          <w:rFonts w:ascii="標楷體" w:cs="標楷體" w:eastAsia="標楷體" w:hAnsi="標楷體"/>
          <w:b w:val="false"/>
          <w:bCs w:val="false"/>
          <w:sz w:val="24"/>
          <w:szCs w:val="24"/>
        </w:rPr>
        <w:t xml:space="preserve">2.1 組織範疇：本院沙鹿院區、大甲院區及長青院區。</w:t>
      </w:r>
    </w:p>
    <w:p>
      <w:pPr>
        <w:keepNext w:val="false"/>
        <w:spacing w:after="0" w:before="50" w:line="240"/>
        <w:ind w:left="720" w:hanging="240"/>
      </w:pPr>
      <w:r>
        <w:rPr>
          <w:rFonts w:ascii="標楷體" w:cs="標楷體" w:eastAsia="標楷體" w:hAnsi="標楷體"/>
          <w:b w:val="false"/>
          <w:bCs w:val="false"/>
          <w:sz w:val="24"/>
          <w:szCs w:val="24"/>
        </w:rPr>
        <w:t xml:space="preserve">2.2 邊界：前項各院區之土地、建築物、設施設備及其所屬之能源使用活動。</w:t>
      </w:r>
    </w:p>
    <w:p>
      <w:pPr>
        <w:keepNext w:val="false"/>
        <w:spacing w:after="0" w:before="50" w:line="240"/>
        <w:ind w:left="720" w:hanging="240"/>
      </w:pPr>
      <w:r>
        <w:rPr>
          <w:rFonts w:ascii="標楷體" w:cs="標楷體" w:eastAsia="標楷體" w:hAnsi="標楷體"/>
          <w:b w:val="false"/>
          <w:bCs w:val="false"/>
          <w:sz w:val="24"/>
          <w:szCs w:val="24"/>
        </w:rPr>
        <w:t xml:space="preserve">2.3 能源型式：電力、天然氣、柴油（含緊急發電機）、汽油（公務車輛）及其他經能源審查鑑別之能源。</w:t>
      </w:r>
    </w:p>
    <w:p>
      <w:pPr>
        <w:keepNext w:val="false"/>
        <w:spacing w:after="0" w:before="50" w:line="240"/>
        <w:ind w:left="720" w:hanging="240"/>
      </w:pPr>
      <w:r>
        <w:rPr>
          <w:rFonts w:ascii="標楷體" w:cs="標楷體" w:eastAsia="標楷體" w:hAnsi="標楷體"/>
          <w:b w:val="false"/>
          <w:bCs w:val="false"/>
          <w:sz w:val="24"/>
          <w:szCs w:val="24"/>
        </w:rPr>
        <w:t xml:space="preserve">2.4 適用對象：本院全體同仁，及於本院範疇與邊界內從事影響能源績效活動之承攬商、供應商及委外服務人員。</w:t>
      </w:r>
    </w:p>
    <w:p>
      <w:pPr>
        <w:keepNext w:val="false"/>
        <w:spacing w:after="0" w:before="50" w:line="240"/>
        <w:ind w:left="720" w:hanging="240"/>
      </w:pPr>
      <w:r>
        <w:rPr>
          <w:rFonts w:ascii="標楷體" w:cs="標楷體" w:eastAsia="標楷體" w:hAnsi="標楷體"/>
          <w:b w:val="false"/>
          <w:bCs w:val="false"/>
          <w:sz w:val="24"/>
          <w:szCs w:val="24"/>
        </w:rPr>
        <w:t xml:space="preserve">2.5 排除事項：本院對範疇與邊界內之能源使用、能源消耗及能源效率具有管制權；無排除事項。</w:t>
      </w:r>
    </w:p>
    <w:p>
      <w:pPr>
        <w:keepNext/>
        <w:spacing w:after="50" w:before="150" w:line="240"/>
      </w:pPr>
      <w:r>
        <w:rPr>
          <w:rFonts w:ascii="標楷體" w:cs="標楷體" w:eastAsia="標楷體" w:hAnsi="標楷體"/>
          <w:b/>
          <w:bCs/>
          <w:sz w:val="24"/>
          <w:szCs w:val="24"/>
        </w:rPr>
        <w:t xml:space="preserve">3.名詞解釋：</w:t>
      </w:r>
    </w:p>
    <w:p>
      <w:pPr>
        <w:keepNext w:val="false"/>
        <w:spacing w:after="0" w:before="50" w:line="240"/>
        <w:ind w:left="720" w:hanging="240"/>
      </w:pPr>
      <w:r>
        <w:rPr>
          <w:rFonts w:ascii="標楷體" w:cs="標楷體" w:eastAsia="標楷體" w:hAnsi="標楷體"/>
          <w:b w:val="false"/>
          <w:bCs w:val="false"/>
          <w:sz w:val="24"/>
          <w:szCs w:val="24"/>
        </w:rPr>
        <w:t xml:space="preserve">3.1 能源基準(能源基線EnB)：作為能源績效比較基礎之量化參考。本院採 114 年全年資料建立。</w:t>
      </w:r>
    </w:p>
    <w:p>
      <w:pPr>
        <w:keepNext w:val="false"/>
        <w:spacing w:after="0" w:before="50" w:line="240"/>
        <w:ind w:left="720" w:hanging="240"/>
      </w:pPr>
      <w:r>
        <w:rPr>
          <w:rFonts w:ascii="標楷體" w:cs="標楷體" w:eastAsia="標楷體" w:hAnsi="標楷體"/>
          <w:b w:val="false"/>
          <w:bCs w:val="false"/>
          <w:sz w:val="24"/>
          <w:szCs w:val="24"/>
        </w:rPr>
        <w:t xml:space="preserve">3.2 能源績效指標(EnPI)：本院用以量測及監督能源績效之量化值或量測方式。</w:t>
      </w:r>
    </w:p>
    <w:p>
      <w:pPr>
        <w:keepNext w:val="false"/>
        <w:spacing w:after="0" w:before="50" w:line="240"/>
        <w:ind w:left="720" w:hanging="240"/>
      </w:pPr>
      <w:r>
        <w:rPr>
          <w:rFonts w:ascii="標楷體" w:cs="標楷體" w:eastAsia="標楷體" w:hAnsi="標楷體"/>
          <w:b w:val="false"/>
          <w:bCs w:val="false"/>
          <w:sz w:val="24"/>
          <w:szCs w:val="24"/>
        </w:rPr>
        <w:t xml:space="preserve">3.3 重大能源使用(Significant Energy Use, SEU)：占本院能源消耗顯著比率，或具能源績效改進顯著潛力之能源使用。</w:t>
      </w:r>
    </w:p>
    <w:p>
      <w:pPr>
        <w:keepNext w:val="false"/>
        <w:spacing w:after="0" w:before="50" w:line="240"/>
        <w:ind w:left="720" w:hanging="240"/>
      </w:pPr>
      <w:r>
        <w:rPr>
          <w:rFonts w:ascii="標楷體" w:cs="標楷體" w:eastAsia="標楷體" w:hAnsi="標楷體"/>
          <w:b w:val="false"/>
          <w:bCs w:val="false"/>
          <w:sz w:val="24"/>
          <w:szCs w:val="24"/>
        </w:rPr>
        <w:t xml:space="preserve">3.4 最高管理階層(Top Management)：指本院總院長。</w:t>
      </w:r>
    </w:p>
    <w:p>
      <w:pPr>
        <w:keepNext w:val="false"/>
        <w:spacing w:after="0" w:before="50" w:line="240"/>
        <w:ind w:left="720" w:hanging="240"/>
      </w:pPr>
      <w:r>
        <w:rPr>
          <w:rFonts w:ascii="標楷體" w:cs="標楷體" w:eastAsia="標楷體" w:hAnsi="標楷體"/>
          <w:b w:val="false"/>
          <w:bCs w:val="false"/>
          <w:sz w:val="24"/>
          <w:szCs w:val="24"/>
        </w:rPr>
        <w:t xml:space="preserve">3.5 ISO 50001管理代表：由最高管理階層指派，受指派行使 ISO 50001:2018 條款 5.3 所定責任與職權之人員。</w:t>
      </w:r>
    </w:p>
    <w:p>
      <w:pPr>
        <w:keepNext w:val="false"/>
        <w:spacing w:after="0" w:before="50" w:line="240"/>
        <w:ind w:left="720" w:hanging="240"/>
      </w:pPr>
      <w:r>
        <w:rPr>
          <w:rFonts w:ascii="標楷體" w:cs="標楷體" w:eastAsia="標楷體" w:hAnsi="標楷體"/>
          <w:b w:val="false"/>
          <w:bCs w:val="false"/>
          <w:sz w:val="24"/>
          <w:szCs w:val="24"/>
        </w:rPr>
        <w:t xml:space="preserve">3.6 能源管理盤查小組：本院依 ISO 50001:2018 條款 5.3 設置之能源管理團隊(Energy Management Team)，其設立依據、編制及職責另訂於能源管理盤查小組組織章程暨職責說明。</w:t>
      </w:r>
    </w:p>
    <w:p>
      <w:pPr>
        <w:keepNext w:val="false"/>
        <w:spacing w:after="0" w:before="50" w:line="240"/>
        <w:ind w:left="720" w:hanging="240"/>
      </w:pPr>
      <w:r>
        <w:rPr>
          <w:rFonts w:ascii="標楷體" w:cs="標楷體" w:eastAsia="標楷體" w:hAnsi="標楷體"/>
          <w:b w:val="false"/>
          <w:bCs w:val="false"/>
          <w:sz w:val="24"/>
          <w:szCs w:val="24"/>
        </w:rPr>
        <w:t xml:space="preserve">3.7 人事命令：指經本院總院長核定並於本院官方網站公告之職務異動命令。</w:t>
      </w:r>
    </w:p>
    <w:p>
      <w:pPr>
        <w:keepNext w:val="false"/>
        <w:spacing w:after="0" w:before="50" w:line="240"/>
        <w:ind w:left="720" w:hanging="240"/>
      </w:pPr>
      <w:r>
        <w:rPr>
          <w:rFonts w:ascii="標楷體" w:cs="標楷體" w:eastAsia="標楷體" w:hAnsi="標楷體"/>
          <w:b w:val="false"/>
          <w:bCs w:val="false"/>
          <w:sz w:val="24"/>
          <w:szCs w:val="24"/>
        </w:rPr>
        <w:t xml:space="preserve">3.8 CNS 50001:2020 為我國等同採用 ISO 50001:2018 之國家標準，二者技術內容一致。本手冊專用語以衛生福利部補助計畫用語為主，與 CNS 官方譯名不同者，於首次出現時以括號併記。</w:t>
      </w:r>
    </w:p>
    <w:p>
      <w:pPr>
        <w:keepNext/>
        <w:spacing w:after="50" w:before="150" w:line="240"/>
      </w:pPr>
      <w:r>
        <w:rPr>
          <w:rFonts w:ascii="標楷體" w:cs="標楷體" w:eastAsia="標楷體" w:hAnsi="標楷體"/>
          <w:b/>
          <w:bCs/>
          <w:sz w:val="24"/>
          <w:szCs w:val="24"/>
        </w:rPr>
        <w:t xml:space="preserve">4.相關文件：</w:t>
      </w:r>
    </w:p>
    <w:p>
      <w:pPr>
        <w:keepNext w:val="false"/>
        <w:spacing w:after="0" w:before="50" w:line="240"/>
        <w:ind w:left="720" w:hanging="240"/>
      </w:pPr>
      <w:r>
        <w:rPr>
          <w:rFonts w:ascii="標楷體" w:cs="標楷體" w:eastAsia="標楷體" w:hAnsi="標楷體"/>
          <w:b w:val="false"/>
          <w:bCs w:val="false"/>
          <w:sz w:val="24"/>
          <w:szCs w:val="24"/>
        </w:rPr>
        <w:t xml:space="preserve">4.1 ISO 50001:2018 能源管理系統－附使用指引之要求事項。</w:t>
      </w:r>
    </w:p>
    <w:p>
      <w:pPr>
        <w:keepNext w:val="false"/>
        <w:spacing w:after="0" w:before="50" w:line="240"/>
        <w:ind w:left="720" w:hanging="240"/>
      </w:pPr>
      <w:r>
        <w:rPr>
          <w:rFonts w:ascii="標楷體" w:cs="標楷體" w:eastAsia="標楷體" w:hAnsi="標楷體"/>
          <w:b w:val="false"/>
          <w:bCs w:val="false"/>
          <w:sz w:val="24"/>
          <w:szCs w:val="24"/>
        </w:rPr>
        <w:t xml:space="preserve">4.2 CNS 50001:2020 能源管理系統－附使用指引之要求事項。</w:t>
      </w:r>
    </w:p>
    <w:p>
      <w:pPr>
        <w:keepNext w:val="false"/>
        <w:spacing w:after="0" w:before="50" w:line="240"/>
        <w:ind w:left="720" w:hanging="240"/>
      </w:pPr>
      <w:r>
        <w:rPr>
          <w:rFonts w:ascii="標楷體" w:cs="標楷體" w:eastAsia="標楷體" w:hAnsi="標楷體"/>
          <w:b w:val="false"/>
          <w:bCs w:val="false"/>
          <w:sz w:val="24"/>
          <w:szCs w:val="24"/>
        </w:rPr>
        <w:t xml:space="preserve">4.3 0220ATP0001 文件制定與管制作業辦法。</w:t>
      </w:r>
    </w:p>
    <w:p>
      <w:pPr>
        <w:keepNext w:val="false"/>
        <w:spacing w:after="0" w:before="50" w:line="240"/>
        <w:ind w:left="720" w:hanging="240"/>
      </w:pPr>
      <w:r>
        <w:rPr>
          <w:rFonts w:ascii="標楷體" w:cs="標楷體" w:eastAsia="標楷體" w:hAnsi="標楷體"/>
          <w:b w:val="false"/>
          <w:bCs w:val="false"/>
          <w:sz w:val="24"/>
          <w:szCs w:val="24"/>
        </w:rPr>
        <w:t xml:space="preserve">4.4 1D10CTC5001 能源管理盤查小組組織章程暨職責說明。</w:t>
      </w:r>
    </w:p>
    <w:p>
      <w:pPr>
        <w:keepNext w:val="false"/>
        <w:spacing w:after="0" w:before="50" w:line="240"/>
        <w:ind w:left="720" w:hanging="240"/>
      </w:pPr>
      <w:r>
        <w:rPr>
          <w:rFonts w:ascii="標楷體" w:cs="標楷體" w:eastAsia="標楷體" w:hAnsi="標楷體"/>
          <w:b w:val="false"/>
          <w:bCs w:val="false"/>
          <w:sz w:val="24"/>
          <w:szCs w:val="24"/>
        </w:rPr>
        <w:t xml:space="preserve">4.5 1D10ATF5002 能源管理系統文件清冊。</w:t>
      </w:r>
    </w:p>
    <w:p>
      <w:pPr>
        <w:keepNext w:val="false"/>
        <w:spacing w:after="0" w:before="50" w:line="240"/>
        <w:ind w:left="720" w:hanging="240"/>
      </w:pPr>
      <w:r>
        <w:rPr>
          <w:rFonts w:ascii="標楷體" w:cs="標楷體" w:eastAsia="標楷體" w:hAnsi="標楷體"/>
          <w:b w:val="false"/>
          <w:bCs w:val="false"/>
          <w:sz w:val="24"/>
          <w:szCs w:val="24"/>
        </w:rPr>
        <w:t xml:space="preserve">4.6 能源管理法及其相關子法。</w:t>
      </w:r>
    </w:p>
    <w:p>
      <w:pPr>
        <w:keepNext w:val="false"/>
        <w:spacing w:after="0" w:before="50" w:line="240"/>
        <w:ind w:left="720" w:hanging="240"/>
      </w:pPr>
      <w:r>
        <w:rPr>
          <w:rFonts w:ascii="標楷體" w:cs="標楷體" w:eastAsia="標楷體" w:hAnsi="標楷體"/>
          <w:b w:val="false"/>
          <w:bCs w:val="false"/>
          <w:sz w:val="24"/>
          <w:szCs w:val="24"/>
        </w:rPr>
        <w:t xml:space="preserve">4.7 衛生福利部114年綠色醫療永續規劃暨教育訓練補助計畫。</w:t>
      </w:r>
    </w:p>
    <w:p>
      <w:pPr>
        <w:keepNext/>
        <w:spacing w:after="50" w:before="150" w:line="240"/>
      </w:pPr>
      <w:r>
        <w:rPr>
          <w:rFonts w:ascii="標楷體" w:cs="標楷體" w:eastAsia="標楷體" w:hAnsi="標楷體"/>
          <w:b/>
          <w:bCs/>
          <w:sz w:val="24"/>
          <w:szCs w:val="24"/>
        </w:rPr>
        <w:t xml:space="preserve">5.權　　責：</w:t>
      </w:r>
    </w:p>
    <w:p>
      <w:pPr>
        <w:keepNext w:val="false"/>
        <w:spacing w:after="0" w:before="50" w:line="240"/>
        <w:ind w:left="720" w:hanging="240"/>
      </w:pPr>
      <w:r>
        <w:rPr>
          <w:rFonts w:ascii="標楷體" w:cs="標楷體" w:eastAsia="標楷體" w:hAnsi="標楷體"/>
          <w:b w:val="false"/>
          <w:bCs w:val="false"/>
          <w:sz w:val="24"/>
          <w:szCs w:val="24"/>
        </w:rPr>
        <w:t xml:space="preserve">5.1 總院長（最高管理階層）：核准本手冊、能源政策及目標；核准 ISO 50001管理代表之指派；確保能源管理系統所需資源之可取得性；主持管理階層審查；就能源管理系統之整體績效負最終當責。</w:t>
      </w:r>
    </w:p>
    <w:p>
      <w:pPr>
        <w:keepNext w:val="false"/>
        <w:spacing w:after="0" w:before="50" w:line="240"/>
        <w:ind w:left="720" w:hanging="240"/>
      </w:pPr>
      <w:r>
        <w:rPr>
          <w:rFonts w:ascii="標楷體" w:cs="標楷體" w:eastAsia="標楷體" w:hAnsi="標楷體"/>
          <w:b w:val="false"/>
          <w:bCs w:val="false"/>
          <w:sz w:val="24"/>
          <w:szCs w:val="24"/>
        </w:rPr>
        <w:t xml:space="preserve">5.2 執行長（永續核心）：統籌本院永續(ESG)策略與能源管理系統之整合；協調跨部門資源配置；督導對外議合與資訊揭露。</w:t>
      </w:r>
    </w:p>
    <w:p>
      <w:pPr>
        <w:keepNext w:val="false"/>
        <w:spacing w:after="0" w:before="50" w:line="240"/>
        <w:ind w:left="720" w:hanging="240"/>
      </w:pPr>
      <w:r>
        <w:rPr>
          <w:rFonts w:ascii="標楷體" w:cs="標楷體" w:eastAsia="標楷體" w:hAnsi="標楷體"/>
          <w:b w:val="false"/>
          <w:bCs w:val="false"/>
          <w:sz w:val="24"/>
          <w:szCs w:val="24"/>
        </w:rPr>
        <w:t xml:space="preserve">5.3 ISO 50001管理代表：確保能源管理系統之建立、實施、維持及持續改進；確保系統符合本標準之要求事項；督導行動計畫之實施；向最高管理階層報告系統績效與能源績效改進情形；建立系統運作與管制所需之準則與方法。</w:t>
      </w:r>
    </w:p>
    <w:p>
      <w:pPr>
        <w:keepNext w:val="false"/>
        <w:spacing w:after="0" w:before="50" w:line="240"/>
        <w:ind w:left="720" w:hanging="240"/>
      </w:pPr>
      <w:r>
        <w:rPr>
          <w:rFonts w:ascii="標楷體" w:cs="標楷體" w:eastAsia="標楷體" w:hAnsi="標楷體"/>
          <w:b w:val="false"/>
          <w:bCs w:val="false"/>
          <w:sz w:val="24"/>
          <w:szCs w:val="24"/>
        </w:rPr>
        <w:t xml:space="preserve">5.4 能源管理盤查小組：執行能源審查、建立與維護能源基準(能源基線EnB)及能源績效指標(EnPI)、推動行動計畫、審議能源政策與目標，並準備管理階層審查之投入資料。</w:t>
      </w:r>
    </w:p>
    <w:p>
      <w:pPr>
        <w:keepNext w:val="false"/>
        <w:spacing w:after="0" w:before="50" w:line="240"/>
        <w:ind w:left="720" w:hanging="240"/>
      </w:pPr>
      <w:r>
        <w:rPr>
          <w:rFonts w:ascii="標楷體" w:cs="標楷體" w:eastAsia="標楷體" w:hAnsi="標楷體"/>
          <w:b w:val="false"/>
          <w:bCs w:val="false"/>
          <w:sz w:val="24"/>
          <w:szCs w:val="24"/>
        </w:rPr>
        <w:t xml:space="preserve">5.5 總務部：本系統業務主辦單位；負責本手冊及各階文件之制定、維護與管制，並辦理能源數據之彙整與績效報告。</w:t>
      </w:r>
    </w:p>
    <w:p>
      <w:pPr>
        <w:keepNext w:val="false"/>
        <w:spacing w:after="0" w:before="50" w:line="240"/>
        <w:ind w:left="720" w:hanging="240"/>
      </w:pPr>
      <w:r>
        <w:rPr>
          <w:rFonts w:ascii="標楷體" w:cs="標楷體" w:eastAsia="標楷體" w:hAnsi="標楷體"/>
          <w:b w:val="false"/>
          <w:bCs w:val="false"/>
          <w:sz w:val="24"/>
          <w:szCs w:val="24"/>
        </w:rPr>
        <w:t xml:space="preserve">5.6 各單位：依所屬職掌落實能源政策、目標及行動計畫，提供能源數據，並配合內部稽核及第三方驗證作業。</w:t>
      </w:r>
    </w:p>
    <w:p>
      <w:pPr>
        <w:keepNext/>
        <w:spacing w:after="50" w:before="150" w:line="240"/>
      </w:pPr>
      <w:r>
        <w:rPr>
          <w:rFonts w:ascii="標楷體" w:cs="標楷體" w:eastAsia="標楷體" w:hAnsi="標楷體"/>
          <w:b/>
          <w:bCs/>
          <w:sz w:val="24"/>
          <w:szCs w:val="24"/>
        </w:rPr>
        <w:t xml:space="preserve">6.內　　容：</w:t>
      </w:r>
    </w:p>
    <w:p>
      <w:pPr>
        <w:keepNext w:val="false"/>
        <w:spacing w:after="0" w:before="50" w:line="240"/>
        <w:ind w:left="720" w:hanging="240"/>
      </w:pPr>
      <w:r>
        <w:rPr>
          <w:rFonts w:ascii="標楷體" w:cs="標楷體" w:eastAsia="標楷體" w:hAnsi="標楷體"/>
          <w:b w:val="false"/>
          <w:bCs w:val="false"/>
          <w:sz w:val="24"/>
          <w:szCs w:val="24"/>
        </w:rPr>
        <w:t xml:space="preserve">6.1 組織之前後環節（條款 4）</w:t>
      </w:r>
    </w:p>
    <w:p>
      <w:pPr>
        <w:keepNext w:val="false"/>
        <w:spacing w:after="0" w:before="0" w:line="240"/>
        <w:ind w:left="960" w:hanging="240"/>
      </w:pPr>
      <w:r>
        <w:rPr>
          <w:rFonts w:ascii="標楷體" w:cs="標楷體" w:eastAsia="標楷體" w:hAnsi="標楷體"/>
          <w:b w:val="false"/>
          <w:bCs w:val="false"/>
          <w:sz w:val="24"/>
          <w:szCs w:val="24"/>
        </w:rPr>
        <w:t xml:space="preserve">6.1.1 本院鑑別與能源管理系統目的相關，且影響達成預期結果能力之外部與內部議題，包括國家 2050 淨零排放政策、氣候變遷因應法、能源管理法、醫療機構評鑑要求、能源價格波動、院區建築與設備老化程度及人員能源意識等。</w:t>
      </w:r>
    </w:p>
    <w:p>
      <w:pPr>
        <w:keepNext w:val="false"/>
        <w:spacing w:after="0" w:before="0" w:line="240"/>
        <w:ind w:left="960" w:hanging="240"/>
      </w:pPr>
      <w:r>
        <w:rPr>
          <w:rFonts w:ascii="標楷體" w:cs="標楷體" w:eastAsia="標楷體" w:hAnsi="標楷體"/>
          <w:b w:val="false"/>
          <w:bCs w:val="false"/>
          <w:sz w:val="24"/>
          <w:szCs w:val="24"/>
        </w:rPr>
        <w:t xml:space="preserve">6.1.2 本院鑑別利害相關者及其與能源績效、能源管理系統相關之需求與期望，包括主管機關、病人與家屬、員工、供應商與承攬商、社區及認證機構。</w:t>
      </w:r>
    </w:p>
    <w:p>
      <w:pPr>
        <w:keepNext w:val="false"/>
        <w:spacing w:after="0" w:before="0" w:line="240"/>
        <w:ind w:left="960" w:hanging="240"/>
      </w:pPr>
      <w:r>
        <w:rPr>
          <w:rFonts w:ascii="標楷體" w:cs="標楷體" w:eastAsia="標楷體" w:hAnsi="標楷體"/>
          <w:b w:val="false"/>
          <w:bCs w:val="false"/>
          <w:sz w:val="24"/>
          <w:szCs w:val="24"/>
        </w:rPr>
        <w:t xml:space="preserve">6.1.3 前二項議題之鑑別、更新及其相關連風險與機會之評估，依 1D10ATP0059 組織背景及風險管理程序辦理。</w:t>
      </w:r>
    </w:p>
    <w:p>
      <w:pPr>
        <w:keepNext w:val="false"/>
        <w:spacing w:after="0" w:before="0" w:line="240"/>
        <w:ind w:left="960" w:hanging="240"/>
      </w:pPr>
      <w:r>
        <w:rPr>
          <w:rFonts w:ascii="標楷體" w:cs="標楷體" w:eastAsia="標楷體" w:hAnsi="標楷體"/>
          <w:b w:val="false"/>
          <w:bCs w:val="false"/>
          <w:sz w:val="24"/>
          <w:szCs w:val="24"/>
        </w:rPr>
        <w:t xml:space="preserve">6.1.4 本院能源管理系統之範疇與邊界如本手冊第 2 章所定，並經最高管理階層核准。</w:t>
      </w:r>
    </w:p>
    <w:p>
      <w:pPr>
        <w:keepNext w:val="false"/>
        <w:spacing w:after="0" w:before="50" w:line="240"/>
        <w:ind w:left="720" w:hanging="240"/>
      </w:pPr>
      <w:r>
        <w:rPr>
          <w:rFonts w:ascii="標楷體" w:cs="標楷體" w:eastAsia="標楷體" w:hAnsi="標楷體"/>
          <w:b w:val="false"/>
          <w:bCs w:val="false"/>
          <w:sz w:val="24"/>
          <w:szCs w:val="24"/>
        </w:rPr>
        <w:t xml:space="preserve">6.2 領導（條款 5）</w:t>
      </w:r>
    </w:p>
    <w:p>
      <w:pPr>
        <w:keepNext w:val="false"/>
        <w:spacing w:after="0" w:before="0" w:line="240"/>
        <w:ind w:left="960" w:hanging="240"/>
      </w:pPr>
      <w:r>
        <w:rPr>
          <w:rFonts w:ascii="標楷體" w:cs="標楷體" w:eastAsia="標楷體" w:hAnsi="標楷體"/>
          <w:b w:val="false"/>
          <w:bCs w:val="false"/>
          <w:sz w:val="24"/>
          <w:szCs w:val="24"/>
        </w:rPr>
        <w:t xml:space="preserve">6.2.1 領導與承諾</w:t>
      </w:r>
    </w:p>
    <w:p>
      <w:pPr>
        <w:keepNext w:val="false"/>
        <w:spacing w:after="0" w:before="0" w:line="240"/>
        <w:ind w:left="1200" w:hanging="240"/>
      </w:pPr>
      <w:r>
        <w:rPr>
          <w:rFonts w:ascii="標楷體" w:cs="標楷體" w:eastAsia="標楷體" w:hAnsi="標楷體"/>
          <w:b w:val="false"/>
          <w:bCs w:val="false"/>
          <w:sz w:val="24"/>
          <w:szCs w:val="24"/>
        </w:rPr>
        <w:t xml:space="preserve">6.2.1.1 最高管理階層確保能源政策與能源目標之建立，並與本院之策略方向配合一致。</w:t>
      </w:r>
    </w:p>
    <w:p>
      <w:pPr>
        <w:keepNext w:val="false"/>
        <w:spacing w:after="0" w:before="0" w:line="240"/>
        <w:ind w:left="1200" w:hanging="240"/>
      </w:pPr>
      <w:r>
        <w:rPr>
          <w:rFonts w:ascii="標楷體" w:cs="標楷體" w:eastAsia="標楷體" w:hAnsi="標楷體"/>
          <w:b w:val="false"/>
          <w:bCs w:val="false"/>
          <w:sz w:val="24"/>
          <w:szCs w:val="24"/>
        </w:rPr>
        <w:t xml:space="preserve">6.2.1.2 最高管理階層確保能源管理系統要求事項已整合於本院各項作業過程，並提供所需資源。</w:t>
      </w:r>
    </w:p>
    <w:p>
      <w:pPr>
        <w:keepNext w:val="false"/>
        <w:spacing w:after="0" w:before="0" w:line="240"/>
        <w:ind w:left="1200" w:hanging="240"/>
      </w:pPr>
      <w:r>
        <w:rPr>
          <w:rFonts w:ascii="標楷體" w:cs="標楷體" w:eastAsia="標楷體" w:hAnsi="標楷體"/>
          <w:b w:val="false"/>
          <w:bCs w:val="false"/>
          <w:sz w:val="24"/>
          <w:szCs w:val="24"/>
        </w:rPr>
        <w:t xml:space="preserve">6.2.1.3 最高管理階層確保能源管理系統達成其預期結果與能源績效改進，並促進持續改進。</w:t>
      </w:r>
    </w:p>
    <w:p>
      <w:pPr>
        <w:keepNext w:val="false"/>
        <w:spacing w:after="0" w:before="0" w:line="240"/>
        <w:ind w:left="960" w:hanging="240"/>
      </w:pPr>
      <w:r>
        <w:rPr>
          <w:rFonts w:ascii="標楷體" w:cs="標楷體" w:eastAsia="標楷體" w:hAnsi="標楷體"/>
          <w:b w:val="false"/>
          <w:bCs w:val="false"/>
          <w:sz w:val="24"/>
          <w:szCs w:val="24"/>
        </w:rPr>
        <w:t xml:space="preserve">6.2.2 能源政策與目標</w:t>
      </w:r>
    </w:p>
    <w:p>
      <w:pPr>
        <w:keepNext w:val="false"/>
        <w:spacing w:after="0" w:before="0" w:line="240"/>
        <w:ind w:left="1200" w:hanging="240"/>
      </w:pPr>
      <w:r>
        <w:rPr>
          <w:rFonts w:ascii="標楷體" w:cs="標楷體" w:eastAsia="標楷體" w:hAnsi="標楷體"/>
          <w:b w:val="false"/>
          <w:bCs w:val="false"/>
          <w:sz w:val="24"/>
          <w:szCs w:val="24"/>
        </w:rPr>
        <w:t xml:space="preserve">6.2.2.1 本院能源政策與能源目標，經 115 年 3 月 27 日能源管理系統導入啟始會議宣達，並由總院長核准，內容如本手冊第 6.2.3 節所載之「能源政策與目標」專頁。</w:t>
      </w:r>
    </w:p>
    <w:p>
      <w:pPr>
        <w:keepNext w:val="false"/>
        <w:spacing w:after="0" w:before="0" w:line="240"/>
        <w:ind w:left="1200" w:hanging="240"/>
      </w:pPr>
      <w:r>
        <w:rPr>
          <w:rFonts w:ascii="標楷體" w:cs="標楷體" w:eastAsia="標楷體" w:hAnsi="標楷體"/>
          <w:b w:val="false"/>
          <w:bCs w:val="false"/>
          <w:sz w:val="24"/>
          <w:szCs w:val="24"/>
        </w:rPr>
        <w:t xml:space="preserve">6.2.2.2 能源政策已於本院內部溝通、可為全體同仁取得，並於本院官方網站公開，可為利害相關者取得。</w:t>
      </w:r>
    </w:p>
    <w:p>
      <w:pPr>
        <w:keepNext w:val="false"/>
        <w:spacing w:after="0" w:before="0" w:line="240"/>
        <w:ind w:left="1200" w:hanging="240"/>
      </w:pPr>
      <w:r>
        <w:rPr>
          <w:rFonts w:ascii="標楷體" w:cs="標楷體" w:eastAsia="標楷體" w:hAnsi="標楷體"/>
          <w:b w:val="false"/>
          <w:bCs w:val="false"/>
          <w:sz w:val="24"/>
          <w:szCs w:val="24"/>
        </w:rPr>
        <w:t xml:space="preserve">6.2.2.3 能源政策包含持續改進能源績效與能源管理系統之承諾、確保取得資訊與資源之承諾，以及滿足法規要求事項與其他要求事項之承諾。</w:t>
      </w:r>
    </w:p>
    <w:p>
      <w:pPr>
        <w:pageBreakBefore/>
        <w:spacing w:after="0"/>
      </w:pPr>
    </w:p>
    <w:p>
      <w:pPr>
        <w:spacing w:after="60"/>
        <w:jc w:val="center"/>
      </w:pPr>
      <w:r>
        <w:rPr>
          <w:rFonts w:ascii="標楷體" w:cs="標楷體" w:eastAsia="標楷體" w:hAnsi="標楷體"/>
          <w:b w:val="false"/>
          <w:bCs w:val="false"/>
          <w:sz w:val="20"/>
          <w:szCs w:val="20"/>
        </w:rPr>
        <w:t xml:space="preserve">6.2.3</w:t>
      </w:r>
    </w:p>
    <w:p>
      <w:pPr>
        <w:spacing w:after="40"/>
        <w:jc w:val="center"/>
      </w:pPr>
      <w:r>
        <w:rPr>
          <w:rFonts w:ascii="標楷體" w:cs="標楷體" w:eastAsia="標楷體" w:hAnsi="標楷體"/>
          <w:b/>
          <w:bCs/>
          <w:sz w:val="44"/>
          <w:szCs w:val="44"/>
        </w:rPr>
        <w:t xml:space="preserve">能 源 政 策 與 目 標</w:t>
      </w:r>
    </w:p>
    <w:p>
      <w:pPr>
        <w:spacing w:after="200"/>
        <w:jc w:val="center"/>
      </w:pPr>
      <w:r>
        <w:rPr>
          <w:rFonts w:ascii="標楷體" w:cs="標楷體" w:eastAsia="標楷體" w:hAnsi="標楷體"/>
          <w:b w:val="false"/>
          <w:bCs w:val="false"/>
          <w:sz w:val="22"/>
          <w:szCs w:val="22"/>
        </w:rPr>
        <w:t xml:space="preserve">光田醫療社團法人光田綜合醫院</w:t>
      </w:r>
    </w:p>
    <w:tbl>
      <w:tblPr>
        <w:tblW w:type="dxa" w:w="10206"/>
        <w:tblBorders>
          <w:top w:val="single" w:color="000000" w:sz="12"/>
          <w:left w:val="single" w:color="000000" w:sz="12"/>
          <w:bottom w:val="single" w:color="000000" w:sz="12"/>
          <w:right w:val="single" w:color="000000" w:sz="12"/>
          <w:insideH w:val="single" w:color="auto" w:sz="4"/>
          <w:insideV w:val="single" w:color="auto" w:sz="4"/>
        </w:tblBorders>
      </w:tblPr>
      <w:tblGrid>
        <w:gridCol w:w="10206"/>
      </w:tblGrid>
      <w:tr>
        <w:tc>
          <w:tcPr>
            <w:tcW w:type="dxa" w:w="10206"/>
            <w:shd w:fill="F2F2F2" w:color="auto" w:val="clear"/>
            <w:tcMar>
              <w:top w:type="dxa" w:w="160"/>
              <w:left w:type="dxa" w:w="300"/>
              <w:bottom w:type="dxa" w:w="160"/>
              <w:right w:type="dxa" w:w="300"/>
            </w:tcMar>
          </w:tcPr>
          <w:p>
            <w:pPr>
              <w:spacing w:after="120"/>
              <w:jc w:val="center"/>
            </w:pPr>
            <w:r>
              <w:rPr>
                <w:rFonts w:ascii="標楷體" w:cs="標楷體" w:eastAsia="標楷體" w:hAnsi="標楷體"/>
                <w:b/>
                <w:bCs/>
                <w:sz w:val="30"/>
                <w:szCs w:val="30"/>
              </w:rPr>
              <w:t xml:space="preserve">能　源　政　策</w:t>
            </w:r>
          </w:p>
          <w:p>
            <w:pPr>
              <w:spacing w:line="380"/>
              <w:jc w:val="both"/>
            </w:pPr>
            <w:r>
              <w:rPr>
                <w:rFonts w:ascii="標楷體" w:cs="標楷體" w:eastAsia="標楷體" w:hAnsi="標楷體"/>
                <w:b w:val="false"/>
                <w:bCs w:val="false"/>
                <w:sz w:val="26"/>
                <w:szCs w:val="26"/>
              </w:rPr>
              <w:t xml:space="preserve">以 2050 淨零排放路徑為主軸：醫療品質與能源使用效率共進，採用節能技術與可再生潔淨能源、結合 E 化智能 AI 監控管理，致力能源管理最佳化與環境共生。重視全體同仁能源意識，積極推動節能行為落實，持續改進能源管理系統。</w:t>
            </w:r>
          </w:p>
        </w:tc>
      </w:tr>
    </w:tbl>
    <w:p>
      <w:pPr>
        <w:spacing w:after="100" w:before="240"/>
        <w:jc w:val="center"/>
      </w:pPr>
      <w:r>
        <w:rPr>
          <w:rFonts w:ascii="標楷體" w:cs="標楷體" w:eastAsia="標楷體" w:hAnsi="標楷體"/>
          <w:b/>
          <w:bCs/>
          <w:sz w:val="30"/>
          <w:szCs w:val="30"/>
        </w:rPr>
        <w:t xml:space="preserve">能　源　目　標</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9306"/>
      </w:tblGrid>
      <w:tr>
        <w:tc>
          <w:tcPr>
            <w:tcW w:type="dxa" w:w="9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6"/>
                <w:szCs w:val="26"/>
              </w:rPr>
              <w:t xml:space="preserve">一</w:t>
            </w:r>
          </w:p>
        </w:tc>
        <w:tc>
          <w:tcPr>
            <w:tcW w:type="dxa" w:w="93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4"/>
                <w:szCs w:val="24"/>
              </w:rPr>
              <w:t xml:space="preserve">2030 年前逐年減量達到 2020 年能源水準，配合推動 60% E 化智能 AI 節能控制作為方向。</w:t>
            </w:r>
          </w:p>
        </w:tc>
      </w:tr>
      <w:tr>
        <w:tc>
          <w:tcPr>
            <w:tcW w:type="dxa" w:w="9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6"/>
                <w:szCs w:val="26"/>
              </w:rPr>
              <w:t xml:space="preserve">二</w:t>
            </w:r>
          </w:p>
        </w:tc>
        <w:tc>
          <w:tcPr>
            <w:tcW w:type="dxa" w:w="93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4"/>
                <w:szCs w:val="24"/>
              </w:rPr>
              <w:t xml:space="preserve">每年降低醫院總電力消耗 1%。</w:t>
            </w:r>
          </w:p>
        </w:tc>
      </w:tr>
      <w:tr>
        <w:tc>
          <w:tcPr>
            <w:tcW w:type="dxa" w:w="9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6"/>
                <w:szCs w:val="26"/>
              </w:rPr>
              <w:t xml:space="preserve">三</w:t>
            </w:r>
          </w:p>
        </w:tc>
        <w:tc>
          <w:tcPr>
            <w:tcW w:type="dxa" w:w="93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4"/>
                <w:szCs w:val="24"/>
              </w:rPr>
              <w:t xml:space="preserve">主要能源設備（空調、醫療設備）完成能源審核每年 1 次以上。</w:t>
            </w:r>
          </w:p>
        </w:tc>
      </w:tr>
      <w:tr>
        <w:tc>
          <w:tcPr>
            <w:tcW w:type="dxa" w:w="9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6"/>
                <w:szCs w:val="26"/>
              </w:rPr>
              <w:t xml:space="preserve">四</w:t>
            </w:r>
          </w:p>
        </w:tc>
        <w:tc>
          <w:tcPr>
            <w:tcW w:type="dxa" w:w="93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4"/>
                <w:szCs w:val="24"/>
              </w:rPr>
              <w:t xml:space="preserve">全院每年舉辦至少 2 次節能教育或宣導活動。</w:t>
            </w:r>
          </w:p>
        </w:tc>
      </w:tr>
      <w:tr>
        <w:tc>
          <w:tcPr>
            <w:tcW w:type="dxa" w:w="9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6"/>
                <w:szCs w:val="26"/>
              </w:rPr>
              <w:t xml:space="preserve">五</w:t>
            </w:r>
          </w:p>
        </w:tc>
        <w:tc>
          <w:tcPr>
            <w:tcW w:type="dxa" w:w="93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4"/>
                <w:szCs w:val="24"/>
              </w:rPr>
              <w:t xml:space="preserve">導入能源績效指標系統，監測能源使用效率達 95% 以上。</w:t>
            </w:r>
          </w:p>
        </w:tc>
      </w:tr>
    </w:tbl>
    <w:p>
      <w:pPr>
        <w:spacing w:after="0" w:before="700"/>
        <w:jc w:val="center"/>
      </w:pPr>
      <w:r>
        <w:rPr>
          <w:rFonts w:ascii="標楷體" w:cs="標楷體" w:eastAsia="標楷體" w:hAnsi="標楷體"/>
          <w:b w:val="false"/>
          <w:bCs w:val="false"/>
          <w:sz w:val="22"/>
          <w:szCs w:val="22"/>
        </w:rPr>
        <w:t xml:space="preserve">核　准</w:t>
      </w:r>
    </w:p>
    <w:p>
      <w:pPr>
        <w:spacing w:after="0" w:before="200"/>
        <w:jc w:val="center"/>
      </w:pPr>
      <w:r>
        <w:rPr>
          <w:rFonts w:ascii="標楷體" w:cs="標楷體" w:eastAsia="標楷體" w:hAnsi="標楷體"/>
          <w:b/>
          <w:bCs/>
          <w:sz w:val="34"/>
          <w:szCs w:val="34"/>
        </w:rPr>
        <w:t xml:space="preserve">總院長　　王　乃　弘</w:t>
      </w:r>
    </w:p>
    <w:p>
      <w:pPr>
        <w:spacing w:after="0" w:before="240"/>
        <w:jc w:val="center"/>
      </w:pPr>
      <w:r>
        <w:rPr>
          <w:rFonts w:ascii="標楷體" w:cs="標楷體" w:eastAsia="標楷體" w:hAnsi="標楷體"/>
          <w:b w:val="false"/>
          <w:bCs w:val="false"/>
          <w:sz w:val="24"/>
          <w:szCs w:val="24"/>
        </w:rPr>
        <w:t xml:space="preserve">中華民國 115 年 3 月 6 日</w:t>
      </w:r>
    </w:p>
    <w:p>
      <w:pPr>
        <w:spacing w:after="0" w:before="620"/>
      </w:pPr>
    </w:p>
    <w:tbl>
      <w:tblPr>
        <w:tblW w:type="dxa" w:w="10206"/>
        <w:tblBorders>
          <w:top w:val="single" w:color="000000" w:sz="8"/>
          <w:left w:val="single" w:color="000000" w:sz="8"/>
          <w:bottom w:val="single" w:color="000000" w:sz="8"/>
          <w:right w:val="single" w:color="000000" w:sz="8"/>
          <w:insideH w:val="single" w:color="auto" w:sz="4"/>
          <w:insideV w:val="single" w:color="auto" w:sz="4"/>
        </w:tblBorders>
      </w:tblPr>
      <w:tblGrid>
        <w:gridCol w:w="10206"/>
      </w:tblGrid>
      <w:tr>
        <w:tc>
          <w:tcPr>
            <w:tcW w:type="dxa" w:w="10206"/>
            <w:tcMar>
              <w:top w:type="dxa" w:w="130"/>
              <w:left w:type="dxa" w:w="240"/>
              <w:bottom w:type="dxa" w:w="130"/>
              <w:right w:type="dxa" w:w="240"/>
            </w:tcMar>
          </w:tcPr>
          <w:p>
            <w:pPr>
              <w:spacing w:line="320"/>
              <w:jc w:val="both"/>
            </w:pPr>
            <w:r>
              <w:rPr>
                <w:rFonts w:ascii="標楷體" w:cs="標楷體" w:eastAsia="標楷體" w:hAnsi="標楷體"/>
                <w:b/>
                <w:bCs/>
                <w:sz w:val="22"/>
                <w:szCs w:val="22"/>
              </w:rPr>
              <w:t xml:space="preserve">本院政策、目標每年由「能源管理盤查小組」審議，必要時提出修訂並經總院長核准後公告週知，制修訂政策、目標需併同「能源管理手冊」改版由總院長簽核，政策、目標不得單獨改版簽核，避免能源管理手冊相關管理機制未完善。</w:t>
            </w:r>
          </w:p>
        </w:tc>
      </w:tr>
    </w:tbl>
    <w:p>
      <w:pPr>
        <w:pageBreakBefore/>
        <w:spacing w:after="0"/>
      </w:pPr>
    </w:p>
    <w:p>
      <w:pPr>
        <w:keepNext w:val="false"/>
        <w:spacing w:after="0" w:before="0" w:line="240"/>
        <w:ind w:left="960" w:hanging="240"/>
      </w:pPr>
      <w:r>
        <w:rPr>
          <w:rFonts w:ascii="標楷體" w:cs="標楷體" w:eastAsia="標楷體" w:hAnsi="標楷體"/>
          <w:b w:val="false"/>
          <w:bCs w:val="false"/>
          <w:sz w:val="24"/>
          <w:szCs w:val="24"/>
        </w:rPr>
        <w:t xml:space="preserve">6.2.4 組織之角色、責任及職權（條款 5.3）</w:t>
      </w:r>
    </w:p>
    <w:p>
      <w:pPr>
        <w:keepNext w:val="false"/>
        <w:spacing w:after="0" w:before="0" w:line="240"/>
        <w:ind w:left="1200" w:hanging="240"/>
      </w:pPr>
      <w:r>
        <w:rPr>
          <w:rFonts w:ascii="標楷體" w:cs="標楷體" w:eastAsia="標楷體" w:hAnsi="標楷體"/>
          <w:b w:val="false"/>
          <w:bCs w:val="false"/>
          <w:sz w:val="24"/>
          <w:szCs w:val="24"/>
        </w:rPr>
        <w:t xml:space="preserve">6.2.4.1 最高管理階層確保相關角色之責任與職權已在本院內指派及溝通，其分配如本手冊第 5 章及能源管理盤查小組組織章程暨職責說明所定。</w:t>
      </w:r>
    </w:p>
    <w:p>
      <w:pPr>
        <w:keepNext w:val="false"/>
        <w:spacing w:after="0" w:before="0" w:line="240"/>
        <w:ind w:left="1200" w:hanging="240"/>
      </w:pPr>
      <w:r>
        <w:rPr>
          <w:rFonts w:ascii="標楷體" w:cs="標楷體" w:eastAsia="標楷體" w:hAnsi="標楷體"/>
          <w:b w:val="false"/>
          <w:bCs w:val="false"/>
          <w:sz w:val="24"/>
          <w:szCs w:val="24"/>
        </w:rPr>
        <w:t xml:space="preserve">6.2.4.2 本院設 ISO 50001管理代表一人，由副院長兼任，受最高管理階層指派行使條款 5.3(a) 至 (e) 所定之責任與職權。</w:t>
      </w:r>
    </w:p>
    <w:p>
      <w:pPr>
        <w:keepNext w:val="false"/>
        <w:spacing w:after="0" w:before="0" w:line="240"/>
        <w:ind w:left="960" w:hanging="240"/>
      </w:pPr>
      <w:r>
        <w:rPr>
          <w:rFonts w:ascii="標楷體" w:cs="標楷體" w:eastAsia="標楷體" w:hAnsi="標楷體"/>
          <w:b w:val="false"/>
          <w:bCs w:val="false"/>
          <w:sz w:val="24"/>
          <w:szCs w:val="24"/>
        </w:rPr>
        <w:t xml:space="preserve">6.2.5 ISO 50001管理代表之指派與生效</w:t>
      </w:r>
    </w:p>
    <w:p>
      <w:pPr>
        <w:keepNext w:val="false"/>
        <w:spacing w:after="0" w:before="0" w:line="240"/>
        <w:ind w:left="1200" w:hanging="240"/>
      </w:pPr>
      <w:r>
        <w:rPr>
          <w:rFonts w:ascii="標楷體" w:cs="標楷體" w:eastAsia="標楷體" w:hAnsi="標楷體"/>
          <w:b w:val="false"/>
          <w:bCs w:val="false"/>
          <w:sz w:val="24"/>
          <w:szCs w:val="24"/>
        </w:rPr>
        <w:t xml:space="preserve">6.2.5.1 本院不另發 ISO 50001管理代表任命令。管理代表之指派，以本手冊為任命依據文件，經總院長核准發布後生效。</w:t>
      </w:r>
    </w:p>
    <w:p>
      <w:pPr>
        <w:keepNext w:val="false"/>
        <w:spacing w:after="0" w:before="0" w:line="240"/>
        <w:ind w:left="1200" w:hanging="240"/>
      </w:pPr>
      <w:r>
        <w:rPr>
          <w:rFonts w:ascii="標楷體" w:cs="標楷體" w:eastAsia="標楷體" w:hAnsi="標楷體"/>
          <w:b w:val="false"/>
          <w:bCs w:val="false"/>
          <w:sz w:val="24"/>
          <w:szCs w:val="24"/>
        </w:rPr>
        <w:t xml:space="preserve">6.2.5.2 ISO 50001管理代表異動時，應即修訂本手冊，重新報請總院長簽核；本手冊未經總院長重新簽核者，新任管理代表不生指派效力。</w:t>
      </w:r>
    </w:p>
    <w:p>
      <w:pPr>
        <w:keepNext w:val="false"/>
        <w:spacing w:after="0" w:before="0" w:line="240"/>
        <w:ind w:left="1200" w:hanging="240"/>
      </w:pPr>
      <w:r>
        <w:rPr>
          <w:rFonts w:ascii="標楷體" w:cs="標楷體" w:eastAsia="標楷體" w:hAnsi="標楷體"/>
          <w:b w:val="false"/>
          <w:bCs w:val="false"/>
          <w:sz w:val="24"/>
          <w:szCs w:val="24"/>
        </w:rPr>
        <w:t xml:space="preserve">6.2.5.3 前項機制之立法意旨：管理代表為能源管理系統之核心當責者，其異動涉及系統運作之延續性，故採「隨手冊改版、由最高管理階層重新簽核」方式辦理，使指派效力與系統文件同步。此與環境保護主管機關對廢棄物清理計畫書之管理原則一致——專責人員異動時應重新製作計畫書並報請主管機關審查，而非單獨更換人員名單。</w:t>
      </w:r>
    </w:p>
    <w:p>
      <w:pPr>
        <w:keepNext w:val="false"/>
        <w:spacing w:after="0" w:before="0" w:line="240"/>
        <w:ind w:left="960" w:hanging="240"/>
      </w:pPr>
      <w:r>
        <w:rPr>
          <w:rFonts w:ascii="標楷體" w:cs="標楷體" w:eastAsia="標楷體" w:hAnsi="標楷體"/>
          <w:b w:val="false"/>
          <w:bCs w:val="false"/>
          <w:sz w:val="24"/>
          <w:szCs w:val="24"/>
        </w:rPr>
        <w:t xml:space="preserve">6.2.6 能源政策與目標之改版機制</w:t>
      </w:r>
    </w:p>
    <w:p>
      <w:pPr>
        <w:keepNext w:val="false"/>
        <w:spacing w:after="0" w:before="0" w:line="240"/>
        <w:ind w:left="1200" w:hanging="240"/>
      </w:pPr>
      <w:r>
        <w:rPr>
          <w:rFonts w:ascii="標楷體" w:cs="標楷體" w:eastAsia="標楷體" w:hAnsi="標楷體"/>
          <w:b w:val="false"/>
          <w:bCs w:val="false"/>
          <w:sz w:val="24"/>
          <w:szCs w:val="24"/>
        </w:rPr>
        <w:t xml:space="preserve">6.2.6.1 本院不另行單獨簽核能源政策與目標。政策與目標為本手冊之組成部分，隨本手冊由總院長核准後生效。</w:t>
      </w:r>
    </w:p>
    <w:p>
      <w:pPr>
        <w:keepNext w:val="false"/>
        <w:spacing w:after="0" w:before="0" w:line="240"/>
        <w:ind w:left="1200" w:hanging="240"/>
      </w:pPr>
      <w:r>
        <w:rPr>
          <w:rFonts w:ascii="標楷體" w:cs="標楷體" w:eastAsia="標楷體" w:hAnsi="標楷體"/>
          <w:b w:val="false"/>
          <w:bCs w:val="false"/>
          <w:sz w:val="24"/>
          <w:szCs w:val="24"/>
        </w:rPr>
        <w:t xml:space="preserve">6.2.6.2 能源政策與目標每年由能源管理盤查小組審議，必要時提出修訂，並經總院長核准後公告週知。</w:t>
      </w:r>
    </w:p>
    <w:p>
      <w:pPr>
        <w:keepNext w:val="false"/>
        <w:spacing w:after="0" w:before="0" w:line="240"/>
        <w:ind w:left="1200" w:hanging="240"/>
      </w:pPr>
      <w:r>
        <w:rPr>
          <w:rFonts w:ascii="標楷體" w:cs="標楷體" w:eastAsia="標楷體" w:hAnsi="標楷體"/>
          <w:b w:val="false"/>
          <w:bCs w:val="false"/>
          <w:sz w:val="24"/>
          <w:szCs w:val="24"/>
        </w:rPr>
        <w:t xml:space="preserve">6.2.6.3 制修訂能源政策或目標時，應併同本手冊改版，由總院長簽核；政策、目標不得單獨改版簽核，以避免能源管理手冊相關管理機制未完善。</w:t>
      </w:r>
    </w:p>
    <w:p>
      <w:pPr>
        <w:keepNext w:val="false"/>
        <w:spacing w:after="0" w:before="0" w:line="240"/>
        <w:ind w:left="960" w:hanging="240"/>
      </w:pPr>
      <w:r>
        <w:rPr>
          <w:rFonts w:ascii="標楷體" w:cs="標楷體" w:eastAsia="標楷體" w:hAnsi="標楷體"/>
          <w:b w:val="false"/>
          <w:bCs w:val="false"/>
          <w:sz w:val="24"/>
          <w:szCs w:val="24"/>
        </w:rPr>
        <w:t xml:space="preserve">6.2.7 人員異動與文件改版之區別</w:t>
      </w:r>
    </w:p>
    <w:p>
      <w:pPr>
        <w:keepNext w:val="false"/>
        <w:spacing w:after="0" w:before="0" w:line="240"/>
        <w:ind w:left="1200" w:hanging="240"/>
      </w:pPr>
      <w:r>
        <w:rPr>
          <w:rFonts w:ascii="標楷體" w:cs="標楷體" w:eastAsia="標楷體" w:hAnsi="標楷體"/>
          <w:b w:val="false"/>
          <w:bCs w:val="false"/>
          <w:sz w:val="24"/>
          <w:szCs w:val="24"/>
        </w:rPr>
        <w:t xml:space="preserve">6.2.7.1 為明確區分二種異動之處理方式，彙整如下表：</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2600"/>
        <w:gridCol w:w="3600"/>
        <w:gridCol w:w="4006"/>
      </w:tblGrid>
      <w:tr>
        <w:trPr>
          <w:tblHeader/>
        </w:trPr>
        <w:tc>
          <w:tcPr>
            <w:tcW w:type="dxa" w:w="26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1"/>
                <w:szCs w:val="21"/>
              </w:rPr>
              <w:t xml:space="preserve">異動類型</w:t>
            </w:r>
          </w:p>
        </w:tc>
        <w:tc>
          <w:tcPr>
            <w:tcW w:type="dxa" w:w="36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1"/>
                <w:szCs w:val="21"/>
              </w:rPr>
              <w:t xml:space="preserve">處理方式</w:t>
            </w:r>
          </w:p>
        </w:tc>
        <w:tc>
          <w:tcPr>
            <w:tcW w:type="dxa" w:w="4006"/>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1"/>
                <w:szCs w:val="21"/>
              </w:rPr>
              <w:t xml:space="preserve">理由</w:t>
            </w:r>
          </w:p>
        </w:tc>
      </w:tr>
      <w:tr>
        <w:tc>
          <w:tcPr>
            <w:tcW w:type="dxa" w:w="26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1"/>
                <w:szCs w:val="21"/>
              </w:rPr>
              <w:t xml:space="preserve">ISO 50001管理代表異動</w:t>
            </w:r>
          </w:p>
        </w:tc>
        <w:tc>
          <w:tcPr>
            <w:tcW w:type="dxa" w:w="36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應修訂本手冊，重新報請總院長簽核，版次遞進。</w:t>
            </w:r>
          </w:p>
        </w:tc>
        <w:tc>
          <w:tcPr>
            <w:tcW w:type="dxa" w:w="40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管理代表為受最高管理階層指派之當責者，其指派效力來自本手冊之核准，故須由總院長重新簽核。</w:t>
            </w:r>
          </w:p>
        </w:tc>
      </w:tr>
      <w:tr>
        <w:tc>
          <w:tcPr>
            <w:tcW w:type="dxa" w:w="26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1"/>
                <w:szCs w:val="21"/>
              </w:rPr>
              <w:t xml:space="preserve">能源管理盤查小組成員異動</w:t>
            </w:r>
          </w:p>
        </w:tc>
        <w:tc>
          <w:tcPr>
            <w:tcW w:type="dxa" w:w="36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由 ISO 50001承辦人員更新章程附表一，經 ISO 50001管理代表核定即生效；章程本文不修訂、版次不變更，本手冊亦不改版。</w:t>
            </w:r>
          </w:p>
        </w:tc>
        <w:tc>
          <w:tcPr>
            <w:tcW w:type="dxa" w:w="40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小組成員依職務編制產生，其人選更替係依經總院長核定並於本院官方網站公告之人事命令為據，已具最高管理階層核定效力，無須另行陳核，以符分層負責、充分授權之管理原則。</w:t>
            </w:r>
          </w:p>
        </w:tc>
      </w:tr>
      <w:tr>
        <w:tc>
          <w:tcPr>
            <w:tcW w:type="dxa" w:w="26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1"/>
                <w:szCs w:val="21"/>
              </w:rPr>
              <w:t xml:space="preserve">能源政策或目標修訂</w:t>
            </w:r>
          </w:p>
        </w:tc>
        <w:tc>
          <w:tcPr>
            <w:tcW w:type="dxa" w:w="3600"/>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併同本手冊改版，由總院長簽核；不得單獨改版簽核。</w:t>
            </w:r>
          </w:p>
        </w:tc>
        <w:tc>
          <w:tcPr>
            <w:tcW w:type="dxa" w:w="4006"/>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避免政策目標與手冊所定管理機制脫節，致管理機制未完善。</w:t>
            </w:r>
          </w:p>
        </w:tc>
      </w:tr>
    </w:tbl>
    <w:p>
      <w:pPr>
        <w:keepNext w:val="false"/>
        <w:spacing w:after="0" w:before="0" w:line="240"/>
        <w:ind w:left="1200" w:hanging="240"/>
      </w:pPr>
      <w:r>
        <w:rPr>
          <w:rFonts w:ascii="標楷體" w:cs="標楷體" w:eastAsia="標楷體" w:hAnsi="標楷體"/>
          <w:b w:val="false"/>
          <w:bCs w:val="false"/>
          <w:sz w:val="24"/>
          <w:szCs w:val="24"/>
        </w:rPr>
        <w:t xml:space="preserve">6.2.7.2 能源管理盤查小組成員之異動機制，詳 1D10CTC5001 能源管理盤查小組組織章程暨職責說明第 6.8 節。</w:t>
      </w:r>
    </w:p>
    <w:p>
      <w:pPr>
        <w:keepNext w:val="false"/>
        <w:spacing w:after="0" w:before="50" w:line="240"/>
        <w:ind w:left="720" w:hanging="240"/>
      </w:pPr>
      <w:r>
        <w:rPr>
          <w:rFonts w:ascii="標楷體" w:cs="標楷體" w:eastAsia="標楷體" w:hAnsi="標楷體"/>
          <w:b w:val="false"/>
          <w:bCs w:val="false"/>
          <w:sz w:val="24"/>
          <w:szCs w:val="24"/>
        </w:rPr>
        <w:t xml:space="preserve">6.3 規劃（條款 6）</w:t>
      </w:r>
    </w:p>
    <w:p>
      <w:pPr>
        <w:keepNext w:val="false"/>
        <w:spacing w:after="0" w:before="0" w:line="240"/>
        <w:ind w:left="960" w:hanging="240"/>
      </w:pPr>
      <w:r>
        <w:rPr>
          <w:rFonts w:ascii="標楷體" w:cs="標楷體" w:eastAsia="標楷體" w:hAnsi="標楷體"/>
          <w:b w:val="false"/>
          <w:bCs w:val="false"/>
          <w:sz w:val="24"/>
          <w:szCs w:val="24"/>
        </w:rPr>
        <w:t xml:space="preserve">6.3.1 本院就前後環節議題及利害相關者需求，決定應處理之風險與機會，並規劃相應措施，依 1D10ATP0059 辦理，其結果記載於機會與風險評估表。</w:t>
      </w:r>
    </w:p>
    <w:p>
      <w:pPr>
        <w:keepNext w:val="false"/>
        <w:spacing w:after="0" w:before="0" w:line="240"/>
        <w:ind w:left="960" w:hanging="240"/>
      </w:pPr>
      <w:r>
        <w:rPr>
          <w:rFonts w:ascii="標楷體" w:cs="標楷體" w:eastAsia="標楷體" w:hAnsi="標楷體"/>
          <w:b w:val="false"/>
          <w:bCs w:val="false"/>
          <w:sz w:val="24"/>
          <w:szCs w:val="24"/>
        </w:rPr>
        <w:t xml:space="preserve">6.3.2 本院於相關職能與階層建立能源目標及能源標的，並訂定達成之行動計畫，依 1D10ATP0066 能源管理目標與方案管理程序書辦理。</w:t>
      </w:r>
    </w:p>
    <w:p>
      <w:pPr>
        <w:keepNext w:val="false"/>
        <w:spacing w:after="0" w:before="0" w:line="240"/>
        <w:ind w:left="960" w:hanging="240"/>
      </w:pPr>
      <w:r>
        <w:rPr>
          <w:rFonts w:ascii="標楷體" w:cs="標楷體" w:eastAsia="標楷體" w:hAnsi="標楷體"/>
          <w:b w:val="false"/>
          <w:bCs w:val="false"/>
          <w:sz w:val="24"/>
          <w:szCs w:val="24"/>
        </w:rPr>
        <w:t xml:space="preserve">6.3.3 本院執行能源審查，分析能源使用與能源消耗、鑑別重大能源使用(SEU)及能源績效改進機會，依 1D10ATP0048 能源審查程序書辦理，並定期更新。</w:t>
      </w:r>
    </w:p>
    <w:p>
      <w:pPr>
        <w:keepNext w:val="false"/>
        <w:spacing w:after="0" w:before="0" w:line="240"/>
        <w:ind w:left="960" w:hanging="240"/>
      </w:pPr>
      <w:r>
        <w:rPr>
          <w:rFonts w:ascii="標楷體" w:cs="標楷體" w:eastAsia="標楷體" w:hAnsi="標楷體"/>
          <w:b w:val="false"/>
          <w:bCs w:val="false"/>
          <w:sz w:val="24"/>
          <w:szCs w:val="24"/>
        </w:rPr>
        <w:t xml:space="preserve">6.3.4 本院建立能源績效指標(EnPI)，用以展現能源績效；其鑑別、更新及與能源基準之對應，依 1D10ATP0048 辦理。</w:t>
      </w:r>
    </w:p>
    <w:p>
      <w:pPr>
        <w:keepNext w:val="false"/>
        <w:spacing w:after="0" w:before="0" w:line="240"/>
        <w:ind w:left="960" w:hanging="240"/>
      </w:pPr>
      <w:r>
        <w:rPr>
          <w:rFonts w:ascii="標楷體" w:cs="標楷體" w:eastAsia="標楷體" w:hAnsi="標楷體"/>
          <w:b w:val="false"/>
          <w:bCs w:val="false"/>
          <w:sz w:val="24"/>
          <w:szCs w:val="24"/>
        </w:rPr>
        <w:t xml:space="preserve">6.3.5 本院以 114 年全年資料建立能源基準(能源基線EnB)，並以 115 年 1 月至 7 月為績效比對期，逐月彙整並經能源管理盤查小組會議確認。基準之變數修正與重新設定原則，依 1D10ATP0048 辦理。</w:t>
      </w:r>
    </w:p>
    <w:p>
      <w:pPr>
        <w:keepNext w:val="false"/>
        <w:spacing w:after="0" w:before="0" w:line="240"/>
        <w:ind w:left="960" w:hanging="240"/>
      </w:pPr>
      <w:r>
        <w:rPr>
          <w:rFonts w:ascii="標楷體" w:cs="標楷體" w:eastAsia="標楷體" w:hAnsi="標楷體"/>
          <w:b w:val="false"/>
          <w:bCs w:val="false"/>
          <w:sz w:val="24"/>
          <w:szCs w:val="24"/>
        </w:rPr>
        <w:t xml:space="preserve">6.3.6 本院規劃能源資料之蒐集，明定量測項目、頻率、方法及量測設備之維護與校正，依 1D10ATP0046 能源系統監督與量測管理程序書辦理。</w:t>
      </w:r>
    </w:p>
    <w:p>
      <w:pPr>
        <w:keepNext w:val="false"/>
        <w:spacing w:after="0" w:before="50" w:line="240"/>
        <w:ind w:left="720" w:hanging="240"/>
      </w:pPr>
      <w:r>
        <w:rPr>
          <w:rFonts w:ascii="標楷體" w:cs="標楷體" w:eastAsia="標楷體" w:hAnsi="標楷體"/>
          <w:b w:val="false"/>
          <w:bCs w:val="false"/>
          <w:sz w:val="24"/>
          <w:szCs w:val="24"/>
        </w:rPr>
        <w:t xml:space="preserve">6.4 支援（條款 7）</w:t>
      </w:r>
    </w:p>
    <w:p>
      <w:pPr>
        <w:keepNext w:val="false"/>
        <w:spacing w:after="0" w:before="0" w:line="240"/>
        <w:ind w:left="960" w:hanging="240"/>
      </w:pPr>
      <w:r>
        <w:rPr>
          <w:rFonts w:ascii="標楷體" w:cs="標楷體" w:eastAsia="標楷體" w:hAnsi="標楷體"/>
          <w:b w:val="false"/>
          <w:bCs w:val="false"/>
          <w:sz w:val="24"/>
          <w:szCs w:val="24"/>
        </w:rPr>
        <w:t xml:space="preserve">6.4.1 資源：本院決定並提供建立、實施、維持及持續改進能源管理系統與能源績效所需之人力、財務、技術及設施資源。</w:t>
      </w:r>
    </w:p>
    <w:p>
      <w:pPr>
        <w:keepNext w:val="false"/>
        <w:spacing w:after="0" w:before="0" w:line="240"/>
        <w:ind w:left="960" w:hanging="240"/>
      </w:pPr>
      <w:r>
        <w:rPr>
          <w:rFonts w:ascii="標楷體" w:cs="標楷體" w:eastAsia="標楷體" w:hAnsi="標楷體"/>
          <w:b w:val="false"/>
          <w:bCs w:val="false"/>
          <w:sz w:val="24"/>
          <w:szCs w:val="24"/>
        </w:rPr>
        <w:t xml:space="preserve">6.4.2 適任性：本院決定影響能源績效人員之必要適任性，並依 0210ATP0020 職務個人工作說明書建立作業辦法辦理，必要時施予教育訓練並評估其成效，保存適任性之文件化資訊。</w:t>
      </w:r>
    </w:p>
    <w:p>
      <w:pPr>
        <w:keepNext w:val="false"/>
        <w:spacing w:after="0" w:before="0" w:line="240"/>
        <w:ind w:left="960" w:hanging="240"/>
      </w:pPr>
      <w:r>
        <w:rPr>
          <w:rFonts w:ascii="標楷體" w:cs="標楷體" w:eastAsia="標楷體" w:hAnsi="標楷體"/>
          <w:b w:val="false"/>
          <w:bCs w:val="false"/>
          <w:sz w:val="24"/>
          <w:szCs w:val="24"/>
        </w:rPr>
        <w:t xml:space="preserve">6.4.3 認知：本院確保於管制下工作之人員認知能源政策、其對能源管理系統之貢獻、其活動對能源績效之影響，以及不符合能源管理系統要求事項之後果。</w:t>
      </w:r>
    </w:p>
    <w:p>
      <w:pPr>
        <w:keepNext w:val="false"/>
        <w:spacing w:after="0" w:before="0" w:line="240"/>
        <w:ind w:left="960" w:hanging="240"/>
      </w:pPr>
      <w:r>
        <w:rPr>
          <w:rFonts w:ascii="標楷體" w:cs="標楷體" w:eastAsia="標楷體" w:hAnsi="標楷體"/>
          <w:b w:val="false"/>
          <w:bCs w:val="false"/>
          <w:sz w:val="24"/>
          <w:szCs w:val="24"/>
        </w:rPr>
        <w:t xml:space="preserve">6.4.4 溝通：</w:t>
      </w:r>
    </w:p>
    <w:p>
      <w:pPr>
        <w:keepNext w:val="false"/>
        <w:spacing w:after="0" w:before="0" w:line="240"/>
        <w:ind w:left="1200" w:hanging="240"/>
      </w:pPr>
      <w:r>
        <w:rPr>
          <w:rFonts w:ascii="標楷體" w:cs="標楷體" w:eastAsia="標楷體" w:hAnsi="標楷體"/>
          <w:b w:val="false"/>
          <w:bCs w:val="false"/>
          <w:sz w:val="24"/>
          <w:szCs w:val="24"/>
        </w:rPr>
        <w:t xml:space="preserve">6.4.4.1 內部溝通：透過能源管理盤查小組會議、院內公告、EIP 平台、教育訓練及節能宣導活動辦理。</w:t>
      </w:r>
    </w:p>
    <w:p>
      <w:pPr>
        <w:keepNext w:val="false"/>
        <w:spacing w:after="0" w:before="0" w:line="240"/>
        <w:ind w:left="1200" w:hanging="240"/>
      </w:pPr>
      <w:r>
        <w:rPr>
          <w:rFonts w:ascii="標楷體" w:cs="標楷體" w:eastAsia="標楷體" w:hAnsi="標楷體"/>
          <w:b w:val="false"/>
          <w:bCs w:val="false"/>
          <w:sz w:val="24"/>
          <w:szCs w:val="24"/>
        </w:rPr>
        <w:t xml:space="preserve">6.4.4.2 外部溝通：能源政策於本院官方網站公開；對主管機關、驗證機構及供應鏈之溝通，由執行長室統籌辦理。</w:t>
      </w:r>
    </w:p>
    <w:p>
      <w:pPr>
        <w:keepNext w:val="false"/>
        <w:spacing w:after="0" w:before="0" w:line="240"/>
        <w:ind w:left="1200" w:hanging="240"/>
      </w:pPr>
      <w:r>
        <w:rPr>
          <w:rFonts w:ascii="標楷體" w:cs="標楷體" w:eastAsia="標楷體" w:hAnsi="標楷體"/>
          <w:b w:val="false"/>
          <w:bCs w:val="false"/>
          <w:sz w:val="24"/>
          <w:szCs w:val="24"/>
        </w:rPr>
        <w:t xml:space="preserve">6.4.4.3 本院建立管道，使於管制下工作之人員得就能源管理系統提出改進建議。</w:t>
      </w:r>
    </w:p>
    <w:p>
      <w:pPr>
        <w:keepNext w:val="false"/>
        <w:spacing w:after="0" w:before="0" w:line="240"/>
        <w:ind w:left="960" w:hanging="240"/>
      </w:pPr>
      <w:r>
        <w:rPr>
          <w:rFonts w:ascii="標楷體" w:cs="標楷體" w:eastAsia="標楷體" w:hAnsi="標楷體"/>
          <w:b w:val="false"/>
          <w:bCs w:val="false"/>
          <w:sz w:val="24"/>
          <w:szCs w:val="24"/>
        </w:rPr>
        <w:t xml:space="preserve">6.4.5 文件化資訊：</w:t>
      </w:r>
    </w:p>
    <w:p>
      <w:pPr>
        <w:keepNext w:val="false"/>
        <w:spacing w:after="0" w:before="0" w:line="240"/>
        <w:ind w:left="1200" w:hanging="240"/>
      </w:pPr>
      <w:r>
        <w:rPr>
          <w:rFonts w:ascii="標楷體" w:cs="標楷體" w:eastAsia="標楷體" w:hAnsi="標楷體"/>
          <w:b w:val="false"/>
          <w:bCs w:val="false"/>
          <w:sz w:val="24"/>
          <w:szCs w:val="24"/>
        </w:rPr>
        <w:t xml:space="preserve">6.4.5.1 本院能源管理系統之文件化資訊，包括本標準要求者及本院決定為必要者，其制定、修訂、編號、審查、發行、存檔與廢止，依 0220ATP0001 文件制定與管制作業辦法辦理。</w:t>
      </w:r>
    </w:p>
    <w:p>
      <w:pPr>
        <w:keepNext w:val="false"/>
        <w:spacing w:after="0" w:before="0" w:line="240"/>
        <w:ind w:left="1200" w:hanging="240"/>
      </w:pPr>
      <w:r>
        <w:rPr>
          <w:rFonts w:ascii="標楷體" w:cs="標楷體" w:eastAsia="標楷體" w:hAnsi="標楷體"/>
          <w:b w:val="false"/>
          <w:bCs w:val="false"/>
          <w:sz w:val="24"/>
          <w:szCs w:val="24"/>
        </w:rPr>
        <w:t xml:space="preserve">6.4.5.2 本系統文件之階層、編號、版次及對應條款，彙整於 1D10ATF5002 能源管理系統文件清冊。</w:t>
      </w:r>
    </w:p>
    <w:p>
      <w:pPr>
        <w:keepNext w:val="false"/>
        <w:spacing w:after="0" w:before="0" w:line="240"/>
        <w:ind w:left="1200" w:hanging="240"/>
      </w:pPr>
      <w:r>
        <w:rPr>
          <w:rFonts w:ascii="標楷體" w:cs="標楷體" w:eastAsia="標楷體" w:hAnsi="標楷體"/>
          <w:b w:val="false"/>
          <w:bCs w:val="false"/>
          <w:sz w:val="24"/>
          <w:szCs w:val="24"/>
        </w:rPr>
        <w:t xml:space="preserve">6.4.5.3 文件之有效版本以本院 EIP 規章辦法處公布者為準；舊版本文件應由單位保管人員銷毀或明確標示作廢。</w:t>
      </w:r>
    </w:p>
    <w:p>
      <w:pPr>
        <w:keepNext w:val="false"/>
        <w:spacing w:after="0" w:before="50" w:line="240"/>
        <w:ind w:left="720" w:hanging="240"/>
      </w:pPr>
      <w:r>
        <w:rPr>
          <w:rFonts w:ascii="標楷體" w:cs="標楷體" w:eastAsia="標楷體" w:hAnsi="標楷體"/>
          <w:b w:val="false"/>
          <w:bCs w:val="false"/>
          <w:sz w:val="24"/>
          <w:szCs w:val="24"/>
        </w:rPr>
        <w:t xml:space="preserve">6.5 運作（條款 8）</w:t>
      </w:r>
    </w:p>
    <w:p>
      <w:pPr>
        <w:keepNext w:val="false"/>
        <w:spacing w:after="0" w:before="0" w:line="240"/>
        <w:ind w:left="960" w:hanging="240"/>
      </w:pPr>
      <w:r>
        <w:rPr>
          <w:rFonts w:ascii="標楷體" w:cs="標楷體" w:eastAsia="標楷體" w:hAnsi="標楷體"/>
          <w:b w:val="false"/>
          <w:bCs w:val="false"/>
          <w:sz w:val="24"/>
          <w:szCs w:val="24"/>
        </w:rPr>
        <w:t xml:space="preserve">6.5.1 運作之規劃及管制：本院就重大能源使用(SEU)相關之運作，訂定作業準則並依準則實施管制，相關設備之操作與維護分別依電力設備管理辦法、廢水處理設施操作維護管理辦法、空調送風機檢查與保養辦法、照度標準作業流程及各項作業指導書辦理。</w:t>
      </w:r>
    </w:p>
    <w:p>
      <w:pPr>
        <w:keepNext w:val="false"/>
        <w:spacing w:after="0" w:before="0" w:line="240"/>
        <w:ind w:left="960" w:hanging="240"/>
      </w:pPr>
      <w:r>
        <w:rPr>
          <w:rFonts w:ascii="標楷體" w:cs="標楷體" w:eastAsia="標楷體" w:hAnsi="標楷體"/>
          <w:b w:val="false"/>
          <w:bCs w:val="false"/>
          <w:sz w:val="24"/>
          <w:szCs w:val="24"/>
        </w:rPr>
        <w:t xml:space="preserve">6.5.2 委外之過程納入管制，承攬商及委外服務人員應遵循本院能源管理相關規定。</w:t>
      </w:r>
    </w:p>
    <w:p>
      <w:pPr>
        <w:keepNext w:val="false"/>
        <w:spacing w:after="0" w:before="0" w:line="240"/>
        <w:ind w:left="960" w:hanging="240"/>
      </w:pPr>
      <w:r>
        <w:rPr>
          <w:rFonts w:ascii="標楷體" w:cs="標楷體" w:eastAsia="標楷體" w:hAnsi="標楷體"/>
          <w:b w:val="false"/>
          <w:bCs w:val="false"/>
          <w:sz w:val="24"/>
          <w:szCs w:val="24"/>
        </w:rPr>
        <w:t xml:space="preserve">6.5.3 設計：本院於新建、改建或翻修設施、設備及過程之設計階段，考量能源績效改進之機會與運作管制，並將結果納入規格與採購要求，依 1D10ATP0050 能源系統變更管理程序書辦理。</w:t>
      </w:r>
    </w:p>
    <w:p>
      <w:pPr>
        <w:keepNext w:val="false"/>
        <w:spacing w:after="0" w:before="0" w:line="240"/>
        <w:ind w:left="960" w:hanging="240"/>
      </w:pPr>
      <w:r>
        <w:rPr>
          <w:rFonts w:ascii="標楷體" w:cs="標楷體" w:eastAsia="標楷體" w:hAnsi="標楷體"/>
          <w:b w:val="false"/>
          <w:bCs w:val="false"/>
          <w:sz w:val="24"/>
          <w:szCs w:val="24"/>
        </w:rPr>
        <w:t xml:space="preserve">6.5.4 採購：本院於採購會影響重大能源使用之能源服務、產品及設備時，將能源績效評估納入評選要件；並將能源效率標示、能源消耗規格及供應商能源相關資訊納入採購文件，依 0410ATP0020 一般設備採購作業程序書辦理，由採購處（綠色採購）主辦。</w:t>
      </w:r>
    </w:p>
    <w:p>
      <w:pPr>
        <w:keepNext w:val="false"/>
        <w:spacing w:after="0" w:before="0" w:line="240"/>
        <w:ind w:left="960" w:hanging="240"/>
      </w:pPr>
      <w:r>
        <w:rPr>
          <w:rFonts w:ascii="標楷體" w:cs="標楷體" w:eastAsia="標楷體" w:hAnsi="標楷體"/>
          <w:b w:val="false"/>
          <w:bCs w:val="false"/>
          <w:sz w:val="24"/>
          <w:szCs w:val="24"/>
        </w:rPr>
        <w:t xml:space="preserve">6.5.5 能源之採購：本院訂定能源購買之規格，以評估其對能源績效之影響。</w:t>
      </w:r>
    </w:p>
    <w:p>
      <w:pPr>
        <w:keepNext w:val="false"/>
        <w:spacing w:after="0" w:before="50" w:line="240"/>
        <w:ind w:left="720" w:hanging="240"/>
      </w:pPr>
      <w:r>
        <w:rPr>
          <w:rFonts w:ascii="標楷體" w:cs="標楷體" w:eastAsia="標楷體" w:hAnsi="標楷體"/>
          <w:b w:val="false"/>
          <w:bCs w:val="false"/>
          <w:sz w:val="24"/>
          <w:szCs w:val="24"/>
        </w:rPr>
        <w:t xml:space="preserve">6.6 績效評估（條款 9）</w:t>
      </w:r>
    </w:p>
    <w:p>
      <w:pPr>
        <w:keepNext w:val="false"/>
        <w:spacing w:after="0" w:before="0" w:line="240"/>
        <w:ind w:left="960" w:hanging="240"/>
      </w:pPr>
      <w:r>
        <w:rPr>
          <w:rFonts w:ascii="標楷體" w:cs="標楷體" w:eastAsia="標楷體" w:hAnsi="標楷體"/>
          <w:b w:val="false"/>
          <w:bCs w:val="false"/>
          <w:sz w:val="24"/>
          <w:szCs w:val="24"/>
        </w:rPr>
        <w:t xml:space="preserve">6.6.1 監督、量測、分析及評估：本院決定須受監督與量測之對象、方法、時機及評估方式，並依 1D10ATP0046 辦理；就能源績效指標(EnPI)之實際值與能源基準(能源基線EnB)之對應值進行比較，據以評估能源績效。</w:t>
      </w:r>
    </w:p>
    <w:p>
      <w:pPr>
        <w:keepNext w:val="false"/>
        <w:spacing w:after="0" w:before="0" w:line="240"/>
        <w:ind w:left="960" w:hanging="240"/>
      </w:pPr>
      <w:r>
        <w:rPr>
          <w:rFonts w:ascii="標楷體" w:cs="標楷體" w:eastAsia="標楷體" w:hAnsi="標楷體"/>
          <w:b w:val="false"/>
          <w:bCs w:val="false"/>
          <w:sz w:val="24"/>
          <w:szCs w:val="24"/>
        </w:rPr>
        <w:t xml:space="preserve">6.6.2 重大偏差之調查與回應：能源績效發生重大偏差時，應調查原因並採取適當措施，其結果保存為文件化資訊。</w:t>
      </w:r>
    </w:p>
    <w:p>
      <w:pPr>
        <w:keepNext w:val="false"/>
        <w:spacing w:after="0" w:before="0" w:line="240"/>
        <w:ind w:left="960" w:hanging="240"/>
      </w:pPr>
      <w:r>
        <w:rPr>
          <w:rFonts w:ascii="標楷體" w:cs="標楷體" w:eastAsia="標楷體" w:hAnsi="標楷體"/>
          <w:b w:val="false"/>
          <w:bCs w:val="false"/>
          <w:sz w:val="24"/>
          <w:szCs w:val="24"/>
        </w:rPr>
        <w:t xml:space="preserve">6.6.3 守規性評估：本院定期評估法規要求事項及其他要求事項之守規性，並保存評估結果，依 1D10ATP0051 能源法規鑑別與符合性查核程序書辦理。</w:t>
      </w:r>
    </w:p>
    <w:p>
      <w:pPr>
        <w:keepNext w:val="false"/>
        <w:spacing w:after="0" w:before="0" w:line="240"/>
        <w:ind w:left="960" w:hanging="240"/>
      </w:pPr>
      <w:r>
        <w:rPr>
          <w:rFonts w:ascii="標楷體" w:cs="標楷體" w:eastAsia="標楷體" w:hAnsi="標楷體"/>
          <w:b w:val="false"/>
          <w:bCs w:val="false"/>
          <w:sz w:val="24"/>
          <w:szCs w:val="24"/>
        </w:rPr>
        <w:t xml:space="preserve">6.6.4 內部稽核（條款 9.2）</w:t>
      </w:r>
    </w:p>
    <w:p>
      <w:pPr>
        <w:keepNext w:val="false"/>
        <w:spacing w:after="0" w:before="0" w:line="240"/>
        <w:ind w:left="1200" w:hanging="240"/>
      </w:pPr>
      <w:r>
        <w:rPr>
          <w:rFonts w:ascii="標楷體" w:cs="標楷體" w:eastAsia="標楷體" w:hAnsi="標楷體"/>
          <w:b w:val="false"/>
          <w:bCs w:val="false"/>
          <w:sz w:val="24"/>
          <w:szCs w:val="24"/>
        </w:rPr>
        <w:t xml:space="preserve">6.6.4.1 本院於所規劃之期間執行內部稽核，以確認能源管理系統符合本院自訂之要求與本標準之要求事項，並已有效實施與維持，且能源績效持續改進。</w:t>
      </w:r>
    </w:p>
    <w:p>
      <w:pPr>
        <w:keepNext w:val="false"/>
        <w:spacing w:after="0" w:before="0" w:line="240"/>
        <w:ind w:left="1200" w:hanging="240"/>
      </w:pPr>
      <w:r>
        <w:rPr>
          <w:rFonts w:ascii="標楷體" w:cs="標楷體" w:eastAsia="標楷體" w:hAnsi="標楷體"/>
          <w:b w:val="false"/>
          <w:bCs w:val="false"/>
          <w:sz w:val="24"/>
          <w:szCs w:val="24"/>
        </w:rPr>
        <w:t xml:space="preserve">6.6.4.2 稽核頻率：每年至少辦理一次，並應於當年度管理階層審查前完成。系統重大變更、發生重大不符合事項或主管機關要求時，得辦理專案稽核。</w:t>
      </w:r>
    </w:p>
    <w:p>
      <w:pPr>
        <w:keepNext w:val="false"/>
        <w:spacing w:after="0" w:before="0" w:line="240"/>
        <w:ind w:left="1200" w:hanging="240"/>
      </w:pPr>
      <w:r>
        <w:rPr>
          <w:rFonts w:ascii="標楷體" w:cs="標楷體" w:eastAsia="標楷體" w:hAnsi="標楷體"/>
          <w:b w:val="false"/>
          <w:bCs w:val="false"/>
          <w:sz w:val="24"/>
          <w:szCs w:val="24"/>
        </w:rPr>
        <w:t xml:space="preserve">6.6.4.3 稽核方案之規劃：由 ISO 50001管理代表核定年度稽核方案，其規劃應將受稽核過程之重要性、重大能源使用(SEU)之範圍及先前稽核之結果納入考量。</w:t>
      </w:r>
    </w:p>
    <w:p>
      <w:pPr>
        <w:keepNext w:val="false"/>
        <w:spacing w:after="0" w:before="0" w:line="240"/>
        <w:ind w:left="1200" w:hanging="240"/>
      </w:pPr>
      <w:r>
        <w:rPr>
          <w:rFonts w:ascii="標楷體" w:cs="標楷體" w:eastAsia="標楷體" w:hAnsi="標楷體"/>
          <w:b w:val="false"/>
          <w:bCs w:val="false"/>
          <w:sz w:val="24"/>
          <w:szCs w:val="24"/>
        </w:rPr>
        <w:t xml:space="preserve">6.6.4.4 稽核準則與範圍：每次稽核應界定其準則與範圍。稽核準則包括 ISO 50001:2018 各條款、本手冊及各階程序書之規定、法規要求事項及其他要求事項；稽核範圍涵蓋本院能源管理系統之全部範疇與邊界。</w:t>
      </w:r>
    </w:p>
    <w:p>
      <w:pPr>
        <w:keepNext w:val="false"/>
        <w:spacing w:after="0" w:before="0" w:line="240"/>
        <w:ind w:left="1200" w:hanging="240"/>
      </w:pPr>
      <w:r>
        <w:rPr>
          <w:rFonts w:ascii="標楷體" w:cs="標楷體" w:eastAsia="標楷體" w:hAnsi="標楷體"/>
          <w:b w:val="false"/>
          <w:bCs w:val="false"/>
          <w:sz w:val="24"/>
          <w:szCs w:val="24"/>
        </w:rPr>
        <w:t xml:space="preserve">6.6.4.5 稽核員之遴選與公正性：</w:t>
      </w:r>
    </w:p>
    <w:p>
      <w:pPr>
        <w:keepNext w:val="false"/>
        <w:spacing w:after="0" w:before="0" w:line="240"/>
        <w:ind w:left="1440" w:hanging="240"/>
      </w:pPr>
      <w:r>
        <w:rPr>
          <w:rFonts w:ascii="標楷體" w:cs="標楷體" w:eastAsia="標楷體" w:hAnsi="標楷體"/>
          <w:b w:val="false"/>
          <w:bCs w:val="false"/>
          <w:sz w:val="24"/>
          <w:szCs w:val="24"/>
        </w:rPr>
        <w:t xml:space="preserve">(1) 稽核員應由完成本院或外部辦理之 ISO 50001 內部稽核員訓練者擔任。</w:t>
      </w:r>
    </w:p>
    <w:p>
      <w:pPr>
        <w:keepNext w:val="false"/>
        <w:spacing w:after="0" w:before="0" w:line="240"/>
        <w:ind w:left="1440" w:hanging="240"/>
      </w:pPr>
      <w:r>
        <w:rPr>
          <w:rFonts w:ascii="標楷體" w:cs="標楷體" w:eastAsia="標楷體" w:hAnsi="標楷體"/>
          <w:b w:val="false"/>
          <w:bCs w:val="false"/>
          <w:sz w:val="24"/>
          <w:szCs w:val="24"/>
        </w:rPr>
        <w:t xml:space="preserve">(2) 稽核員不得稽核其本身職掌之業務，以確保稽核過程之客觀性與公正性。</w:t>
      </w:r>
    </w:p>
    <w:p>
      <w:pPr>
        <w:keepNext w:val="false"/>
        <w:spacing w:after="0" w:before="0" w:line="240"/>
        <w:ind w:left="1440" w:hanging="240"/>
      </w:pPr>
      <w:r>
        <w:rPr>
          <w:rFonts w:ascii="標楷體" w:cs="標楷體" w:eastAsia="標楷體" w:hAnsi="標楷體"/>
          <w:b w:val="false"/>
          <w:bCs w:val="false"/>
          <w:sz w:val="24"/>
          <w:szCs w:val="24"/>
        </w:rPr>
        <w:t xml:space="preserve">(3) 稽核員名單由總務部提出，陳 ISO 50001管理代表核定。</w:t>
      </w:r>
    </w:p>
    <w:p>
      <w:pPr>
        <w:keepNext w:val="false"/>
        <w:spacing w:after="0" w:before="0" w:line="240"/>
        <w:ind w:left="1200" w:hanging="240"/>
      </w:pPr>
      <w:r>
        <w:rPr>
          <w:rFonts w:ascii="標楷體" w:cs="標楷體" w:eastAsia="標楷體" w:hAnsi="標楷體"/>
          <w:b w:val="false"/>
          <w:bCs w:val="false"/>
          <w:sz w:val="24"/>
          <w:szCs w:val="24"/>
        </w:rPr>
        <w:t xml:space="preserve">6.6.4.6 稽核之執行：</w:t>
      </w:r>
    </w:p>
    <w:p>
      <w:pPr>
        <w:keepNext w:val="false"/>
        <w:spacing w:after="0" w:before="0" w:line="240"/>
        <w:ind w:left="1440" w:hanging="240"/>
      </w:pPr>
      <w:r>
        <w:rPr>
          <w:rFonts w:ascii="標楷體" w:cs="標楷體" w:eastAsia="標楷體" w:hAnsi="標楷體"/>
          <w:b w:val="false"/>
          <w:bCs w:val="false"/>
          <w:sz w:val="24"/>
          <w:szCs w:val="24"/>
        </w:rPr>
        <w:t xml:space="preserve">(1) 稽核前由總務部擬訂內部稽核計畫，載明稽核目的、準則、範圍、日期、稽核員、受稽單位及日程，經 ISO 50001管理代表核定後通知受稽單位，並填載於 1D10ATF5007 內部稽核計畫表。</w:t>
      </w:r>
    </w:p>
    <w:p>
      <w:pPr>
        <w:keepNext w:val="false"/>
        <w:spacing w:after="0" w:before="0" w:line="240"/>
        <w:ind w:left="1440" w:hanging="240"/>
      </w:pPr>
      <w:r>
        <w:rPr>
          <w:rFonts w:ascii="標楷體" w:cs="標楷體" w:eastAsia="標楷體" w:hAnsi="標楷體"/>
          <w:b w:val="false"/>
          <w:bCs w:val="false"/>
          <w:sz w:val="24"/>
          <w:szCs w:val="24"/>
        </w:rPr>
        <w:t xml:space="preserve">(2) 稽核時依 1D10ATF5008 內部稽核查檢表逐項查證，並記錄客觀證據。</w:t>
      </w:r>
    </w:p>
    <w:p>
      <w:pPr>
        <w:keepNext w:val="false"/>
        <w:spacing w:after="0" w:before="0" w:line="240"/>
        <w:ind w:left="1440" w:hanging="240"/>
      </w:pPr>
      <w:r>
        <w:rPr>
          <w:rFonts w:ascii="標楷體" w:cs="標楷體" w:eastAsia="標楷體" w:hAnsi="標楷體"/>
          <w:b w:val="false"/>
          <w:bCs w:val="false"/>
          <w:sz w:val="24"/>
          <w:szCs w:val="24"/>
        </w:rPr>
        <w:t xml:space="preserve">(3) 稽核發現之不符合事項，依 6.7.1 開立處理單辦理。</w:t>
      </w:r>
    </w:p>
    <w:p>
      <w:pPr>
        <w:keepNext w:val="false"/>
        <w:spacing w:after="0" w:before="0" w:line="240"/>
        <w:ind w:left="1200" w:hanging="240"/>
      </w:pPr>
      <w:r>
        <w:rPr>
          <w:rFonts w:ascii="標楷體" w:cs="標楷體" w:eastAsia="標楷體" w:hAnsi="標楷體"/>
          <w:b w:val="false"/>
          <w:bCs w:val="false"/>
          <w:sz w:val="24"/>
          <w:szCs w:val="24"/>
        </w:rPr>
        <w:t xml:space="preserve">6.6.4.7 稽核結果之報告：稽核結果應報告予相關管理階層，並提報能源管理盤查小組會議及管理階層審查。</w:t>
      </w:r>
    </w:p>
    <w:p>
      <w:pPr>
        <w:keepNext w:val="false"/>
        <w:spacing w:after="0" w:before="0" w:line="240"/>
        <w:ind w:left="1200" w:hanging="240"/>
      </w:pPr>
      <w:r>
        <w:rPr>
          <w:rFonts w:ascii="標楷體" w:cs="標楷體" w:eastAsia="標楷體" w:hAnsi="標楷體"/>
          <w:b w:val="false"/>
          <w:bCs w:val="false"/>
          <w:sz w:val="24"/>
          <w:szCs w:val="24"/>
        </w:rPr>
        <w:t xml:space="preserve">6.6.4.8 稽核之後續措施：不符合事項應依 10.1 採取矯正措施，並由稽核員確認其有效性後結案。</w:t>
      </w:r>
    </w:p>
    <w:p>
      <w:pPr>
        <w:keepNext w:val="false"/>
        <w:spacing w:after="0" w:before="0" w:line="240"/>
        <w:ind w:left="1200" w:hanging="240"/>
      </w:pPr>
      <w:r>
        <w:rPr>
          <w:rFonts w:ascii="標楷體" w:cs="標楷體" w:eastAsia="標楷體" w:hAnsi="標楷體"/>
          <w:b w:val="false"/>
          <w:bCs w:val="false"/>
          <w:sz w:val="24"/>
          <w:szCs w:val="24"/>
        </w:rPr>
        <w:t xml:space="preserve">6.6.4.9 文件化資訊：稽核方案、稽核計畫表、查檢表、不符合事項處理單及稽核報告，均保存為文件化資訊，作為實施稽核方案及其結果之證據。</w:t>
      </w:r>
    </w:p>
    <w:p>
      <w:pPr>
        <w:keepNext w:val="false"/>
        <w:spacing w:after="0" w:before="0" w:line="240"/>
        <w:ind w:left="960" w:hanging="240"/>
      </w:pPr>
      <w:r>
        <w:rPr>
          <w:rFonts w:ascii="標楷體" w:cs="標楷體" w:eastAsia="標楷體" w:hAnsi="標楷體"/>
          <w:b w:val="false"/>
          <w:bCs w:val="false"/>
          <w:sz w:val="24"/>
          <w:szCs w:val="24"/>
        </w:rPr>
        <w:t xml:space="preserve">6.6.5 管理階層審查（條款 9.3）</w:t>
      </w:r>
    </w:p>
    <w:p>
      <w:pPr>
        <w:keepNext w:val="false"/>
        <w:spacing w:after="0" w:before="0" w:line="240"/>
        <w:ind w:left="1200" w:hanging="240"/>
      </w:pPr>
      <w:r>
        <w:rPr>
          <w:rFonts w:ascii="標楷體" w:cs="標楷體" w:eastAsia="標楷體" w:hAnsi="標楷體"/>
          <w:b w:val="false"/>
          <w:bCs w:val="false"/>
          <w:sz w:val="24"/>
          <w:szCs w:val="24"/>
        </w:rPr>
        <w:t xml:space="preserve">6.6.5.1 頻率與主持：管理階層審查每年至少辦理一次，由總院長（最高管理階層）主持；系統發生重大變更或驗證機構要求時，得召開臨時審查會議。</w:t>
      </w:r>
    </w:p>
    <w:p>
      <w:pPr>
        <w:keepNext w:val="false"/>
        <w:spacing w:after="0" w:before="0" w:line="240"/>
        <w:ind w:left="1200" w:hanging="240"/>
      </w:pPr>
      <w:r>
        <w:rPr>
          <w:rFonts w:ascii="標楷體" w:cs="標楷體" w:eastAsia="標楷體" w:hAnsi="標楷體"/>
          <w:b w:val="false"/>
          <w:bCs w:val="false"/>
          <w:sz w:val="24"/>
          <w:szCs w:val="24"/>
        </w:rPr>
        <w:t xml:space="preserve">6.6.5.2 出席人員：總召集人、永續核心、ISO 50001管理代表、執行秘書及能源管理盤查小組全體成員；必要時得邀請外部顧問或驗證機構代表列席。</w:t>
      </w:r>
    </w:p>
    <w:p>
      <w:pPr>
        <w:keepNext w:val="false"/>
        <w:spacing w:after="0" w:before="0" w:line="240"/>
        <w:ind w:left="1200" w:hanging="240"/>
      </w:pPr>
      <w:r>
        <w:rPr>
          <w:rFonts w:ascii="標楷體" w:cs="標楷體" w:eastAsia="標楷體" w:hAnsi="標楷體"/>
          <w:b w:val="false"/>
          <w:bCs w:val="false"/>
          <w:sz w:val="24"/>
          <w:szCs w:val="24"/>
        </w:rPr>
        <w:t xml:space="preserve">6.6.5.3 審查目的：確保能源管理系統持續之合適性、充分性、有效性，並與本院策略方向配合一致。</w:t>
      </w:r>
    </w:p>
    <w:p>
      <w:pPr>
        <w:keepNext w:val="false"/>
        <w:spacing w:after="0" w:before="0" w:line="240"/>
        <w:ind w:left="1200" w:hanging="240"/>
      </w:pPr>
      <w:r>
        <w:rPr>
          <w:rFonts w:ascii="標楷體" w:cs="標楷體" w:eastAsia="標楷體" w:hAnsi="標楷體"/>
          <w:b w:val="false"/>
          <w:bCs w:val="false"/>
          <w:sz w:val="24"/>
          <w:szCs w:val="24"/>
        </w:rPr>
        <w:t xml:space="preserve">6.6.5.4 審查之投入（Input）應包括下列事項：</w:t>
      </w:r>
    </w:p>
    <w:p>
      <w:pPr>
        <w:keepNext w:val="false"/>
        <w:spacing w:after="0" w:before="0" w:line="240"/>
        <w:ind w:left="1440" w:hanging="240"/>
      </w:pPr>
      <w:r>
        <w:rPr>
          <w:rFonts w:ascii="標楷體" w:cs="標楷體" w:eastAsia="標楷體" w:hAnsi="標楷體"/>
          <w:b w:val="false"/>
          <w:bCs w:val="false"/>
          <w:sz w:val="24"/>
          <w:szCs w:val="24"/>
        </w:rPr>
        <w:t xml:space="preserve">(1) 先前管理階層審查各項措施之狀況。</w:t>
      </w:r>
    </w:p>
    <w:p>
      <w:pPr>
        <w:keepNext w:val="false"/>
        <w:spacing w:after="0" w:before="0" w:line="240"/>
        <w:ind w:left="1440" w:hanging="240"/>
      </w:pPr>
      <w:r>
        <w:rPr>
          <w:rFonts w:ascii="標楷體" w:cs="標楷體" w:eastAsia="標楷體" w:hAnsi="標楷體"/>
          <w:b w:val="false"/>
          <w:bCs w:val="false"/>
          <w:sz w:val="24"/>
          <w:szCs w:val="24"/>
        </w:rPr>
        <w:t xml:space="preserve">(2) 與能源管理系統相關之外部與內部議題，及其相關連風險與機會之變更。</w:t>
      </w:r>
    </w:p>
    <w:p>
      <w:pPr>
        <w:keepNext w:val="false"/>
        <w:spacing w:after="0" w:before="0" w:line="240"/>
        <w:ind w:left="1440" w:hanging="240"/>
      </w:pPr>
      <w:r>
        <w:rPr>
          <w:rFonts w:ascii="標楷體" w:cs="標楷體" w:eastAsia="標楷體" w:hAnsi="標楷體"/>
          <w:b w:val="false"/>
          <w:bCs w:val="false"/>
          <w:sz w:val="24"/>
          <w:szCs w:val="24"/>
        </w:rPr>
        <w:t xml:space="preserve">(3) 能源管理系統績效資訊之趨勢，包括不符合事項與矯正措施、監督與量測結果、稽核結果，以及法規要求事項與其他要求事項守規性評估之結果。</w:t>
      </w:r>
    </w:p>
    <w:p>
      <w:pPr>
        <w:keepNext w:val="false"/>
        <w:spacing w:after="0" w:before="0" w:line="240"/>
        <w:ind w:left="1440" w:hanging="240"/>
      </w:pPr>
      <w:r>
        <w:rPr>
          <w:rFonts w:ascii="標楷體" w:cs="標楷體" w:eastAsia="標楷體" w:hAnsi="標楷體"/>
          <w:b w:val="false"/>
          <w:bCs w:val="false"/>
          <w:sz w:val="24"/>
          <w:szCs w:val="24"/>
        </w:rPr>
        <w:t xml:space="preserve">(4) 持續改進之機會，包括人員適任性之持續改進機會。</w:t>
      </w:r>
    </w:p>
    <w:p>
      <w:pPr>
        <w:keepNext w:val="false"/>
        <w:spacing w:after="0" w:before="0" w:line="240"/>
        <w:ind w:left="1440" w:hanging="240"/>
      </w:pPr>
      <w:r>
        <w:rPr>
          <w:rFonts w:ascii="標楷體" w:cs="標楷體" w:eastAsia="標楷體" w:hAnsi="標楷體"/>
          <w:b w:val="false"/>
          <w:bCs w:val="false"/>
          <w:sz w:val="24"/>
          <w:szCs w:val="24"/>
        </w:rPr>
        <w:t xml:space="preserve">(5) 能源政策之適切性。</w:t>
      </w:r>
    </w:p>
    <w:p>
      <w:pPr>
        <w:keepNext w:val="false"/>
        <w:spacing w:after="0" w:before="0" w:line="240"/>
        <w:ind w:left="1200" w:hanging="240"/>
      </w:pPr>
      <w:r>
        <w:rPr>
          <w:rFonts w:ascii="標楷體" w:cs="標楷體" w:eastAsia="標楷體" w:hAnsi="標楷體"/>
          <w:b w:val="false"/>
          <w:bCs w:val="false"/>
          <w:sz w:val="24"/>
          <w:szCs w:val="24"/>
        </w:rPr>
        <w:t xml:space="preserve">6.6.5.5 能源績效之投入應包括：</w:t>
      </w:r>
    </w:p>
    <w:p>
      <w:pPr>
        <w:keepNext w:val="false"/>
        <w:spacing w:after="0" w:before="0" w:line="240"/>
        <w:ind w:left="1440" w:hanging="240"/>
      </w:pPr>
      <w:r>
        <w:rPr>
          <w:rFonts w:ascii="標楷體" w:cs="標楷體" w:eastAsia="標楷體" w:hAnsi="標楷體"/>
          <w:b w:val="false"/>
          <w:bCs w:val="false"/>
          <w:sz w:val="24"/>
          <w:szCs w:val="24"/>
        </w:rPr>
        <w:t xml:space="preserve">(1) 目標與能源標的已符合之程度。</w:t>
      </w:r>
    </w:p>
    <w:p>
      <w:pPr>
        <w:keepNext w:val="false"/>
        <w:spacing w:after="0" w:before="0" w:line="240"/>
        <w:ind w:left="1440" w:hanging="240"/>
      </w:pPr>
      <w:r>
        <w:rPr>
          <w:rFonts w:ascii="標楷體" w:cs="標楷體" w:eastAsia="標楷體" w:hAnsi="標楷體"/>
          <w:b w:val="false"/>
          <w:bCs w:val="false"/>
          <w:sz w:val="24"/>
          <w:szCs w:val="24"/>
        </w:rPr>
        <w:t xml:space="preserve">(2) 依包含能源績效指標(EnPI)之監督與量測結果所呈現之能源績效及能源績效改進。</w:t>
      </w:r>
    </w:p>
    <w:p>
      <w:pPr>
        <w:keepNext w:val="false"/>
        <w:spacing w:after="0" w:before="0" w:line="240"/>
        <w:ind w:left="1440" w:hanging="240"/>
      </w:pPr>
      <w:r>
        <w:rPr>
          <w:rFonts w:ascii="標楷體" w:cs="標楷體" w:eastAsia="標楷體" w:hAnsi="標楷體"/>
          <w:b w:val="false"/>
          <w:bCs w:val="false"/>
          <w:sz w:val="24"/>
          <w:szCs w:val="24"/>
        </w:rPr>
        <w:t xml:space="preserve">(3) 行動計畫之現況。</w:t>
      </w:r>
    </w:p>
    <w:p>
      <w:pPr>
        <w:keepNext w:val="false"/>
        <w:spacing w:after="0" w:before="0" w:line="240"/>
        <w:ind w:left="1200" w:hanging="240"/>
      </w:pPr>
      <w:r>
        <w:rPr>
          <w:rFonts w:ascii="標楷體" w:cs="標楷體" w:eastAsia="標楷體" w:hAnsi="標楷體"/>
          <w:b w:val="false"/>
          <w:bCs w:val="false"/>
          <w:sz w:val="24"/>
          <w:szCs w:val="24"/>
        </w:rPr>
        <w:t xml:space="preserve">6.6.5.6 審查之產出（Output）應包括：</w:t>
      </w:r>
    </w:p>
    <w:p>
      <w:pPr>
        <w:keepNext w:val="false"/>
        <w:spacing w:after="0" w:before="0" w:line="240"/>
        <w:ind w:left="1440" w:hanging="240"/>
      </w:pPr>
      <w:r>
        <w:rPr>
          <w:rFonts w:ascii="標楷體" w:cs="標楷體" w:eastAsia="標楷體" w:hAnsi="標楷體"/>
          <w:b w:val="false"/>
          <w:bCs w:val="false"/>
          <w:sz w:val="24"/>
          <w:szCs w:val="24"/>
        </w:rPr>
        <w:t xml:space="preserve">(1) 與持續改進機會相關之決議。</w:t>
      </w:r>
    </w:p>
    <w:p>
      <w:pPr>
        <w:keepNext w:val="false"/>
        <w:spacing w:after="0" w:before="0" w:line="240"/>
        <w:ind w:left="1440" w:hanging="240"/>
      </w:pPr>
      <w:r>
        <w:rPr>
          <w:rFonts w:ascii="標楷體" w:cs="標楷體" w:eastAsia="標楷體" w:hAnsi="標楷體"/>
          <w:b w:val="false"/>
          <w:bCs w:val="false"/>
          <w:sz w:val="24"/>
          <w:szCs w:val="24"/>
        </w:rPr>
        <w:t xml:space="preserve">(2) 能源管理系統變更之任何需求，包括能源政策、目標、能源標的之修訂。</w:t>
      </w:r>
    </w:p>
    <w:p>
      <w:pPr>
        <w:keepNext w:val="false"/>
        <w:spacing w:after="0" w:before="0" w:line="240"/>
        <w:ind w:left="1440" w:hanging="240"/>
      </w:pPr>
      <w:r>
        <w:rPr>
          <w:rFonts w:ascii="標楷體" w:cs="標楷體" w:eastAsia="標楷體" w:hAnsi="標楷體"/>
          <w:b w:val="false"/>
          <w:bCs w:val="false"/>
          <w:sz w:val="24"/>
          <w:szCs w:val="24"/>
        </w:rPr>
        <w:t xml:space="preserve">(3) 能源績效未達預期時之改進措施。</w:t>
      </w:r>
    </w:p>
    <w:p>
      <w:pPr>
        <w:keepNext w:val="false"/>
        <w:spacing w:after="0" w:before="0" w:line="240"/>
        <w:ind w:left="1440" w:hanging="240"/>
      </w:pPr>
      <w:r>
        <w:rPr>
          <w:rFonts w:ascii="標楷體" w:cs="標楷體" w:eastAsia="標楷體" w:hAnsi="標楷體"/>
          <w:b w:val="false"/>
          <w:bCs w:val="false"/>
          <w:sz w:val="24"/>
          <w:szCs w:val="24"/>
        </w:rPr>
        <w:t xml:space="preserve">(4) 資源需求之決議。</w:t>
      </w:r>
    </w:p>
    <w:p>
      <w:pPr>
        <w:keepNext w:val="false"/>
        <w:spacing w:after="0" w:before="0" w:line="240"/>
        <w:ind w:left="1440" w:hanging="240"/>
      </w:pPr>
      <w:r>
        <w:rPr>
          <w:rFonts w:ascii="標楷體" w:cs="標楷體" w:eastAsia="標楷體" w:hAnsi="標楷體"/>
          <w:b w:val="false"/>
          <w:bCs w:val="false"/>
          <w:sz w:val="24"/>
          <w:szCs w:val="24"/>
        </w:rPr>
        <w:t xml:space="preserve">(5) 能源績效指標(EnPI)或能源基準(能源基線EnB)是否須重新設定之決議。</w:t>
      </w:r>
    </w:p>
    <w:p>
      <w:pPr>
        <w:keepNext w:val="false"/>
        <w:spacing w:after="0" w:before="0" w:line="240"/>
        <w:ind w:left="1200" w:hanging="240"/>
      </w:pPr>
      <w:r>
        <w:rPr>
          <w:rFonts w:ascii="標楷體" w:cs="標楷體" w:eastAsia="標楷體" w:hAnsi="標楷體"/>
          <w:b w:val="false"/>
          <w:bCs w:val="false"/>
          <w:sz w:val="24"/>
          <w:szCs w:val="24"/>
        </w:rPr>
        <w:t xml:space="preserve">6.6.5.7 投入資料之準備：由能源管理盤查小組彙整，於會議前送達出席人員；相關銜接機制詳 1D10CTC5001 章程第 6.5 節。</w:t>
      </w:r>
    </w:p>
    <w:p>
      <w:pPr>
        <w:keepNext w:val="false"/>
        <w:spacing w:after="0" w:before="0" w:line="240"/>
        <w:ind w:left="1200" w:hanging="240"/>
      </w:pPr>
      <w:r>
        <w:rPr>
          <w:rFonts w:ascii="標楷體" w:cs="標楷體" w:eastAsia="標楷體" w:hAnsi="標楷體"/>
          <w:b w:val="false"/>
          <w:bCs w:val="false"/>
          <w:sz w:val="24"/>
          <w:szCs w:val="24"/>
        </w:rPr>
        <w:t xml:space="preserve">6.6.5.8 審查產出之落實：審查決議事項由總務部轉化為行動計畫，依 1D10ATP0066 辦理，並納入能源管理盤查小組定期會議追蹤管制至結案。</w:t>
      </w:r>
    </w:p>
    <w:p>
      <w:pPr>
        <w:keepNext w:val="false"/>
        <w:spacing w:after="0" w:before="0" w:line="240"/>
        <w:ind w:left="1200" w:hanging="240"/>
      </w:pPr>
      <w:r>
        <w:rPr>
          <w:rFonts w:ascii="標楷體" w:cs="標楷體" w:eastAsia="標楷體" w:hAnsi="標楷體"/>
          <w:b w:val="false"/>
          <w:bCs w:val="false"/>
          <w:sz w:val="24"/>
          <w:szCs w:val="24"/>
        </w:rPr>
        <w:t xml:space="preserve">6.6.5.9 文件化資訊：審查結果應填載於 1D10ATF5010 管理階層審查會議紀錄，經總院長核閱後保存，作為管理階層審查結果之證據。</w:t>
      </w:r>
    </w:p>
    <w:p>
      <w:pPr>
        <w:keepNext w:val="false"/>
        <w:spacing w:after="0" w:before="50" w:line="240"/>
        <w:ind w:left="720" w:hanging="240"/>
      </w:pPr>
      <w:r>
        <w:rPr>
          <w:rFonts w:ascii="標楷體" w:cs="標楷體" w:eastAsia="標楷體" w:hAnsi="標楷體"/>
          <w:b w:val="false"/>
          <w:bCs w:val="false"/>
          <w:sz w:val="24"/>
          <w:szCs w:val="24"/>
        </w:rPr>
        <w:t xml:space="preserve">6.7 改進（條款 10）</w:t>
      </w:r>
    </w:p>
    <w:p>
      <w:pPr>
        <w:keepNext w:val="false"/>
        <w:spacing w:after="0" w:before="0" w:line="240"/>
        <w:ind w:left="960" w:hanging="240"/>
      </w:pPr>
      <w:r>
        <w:rPr>
          <w:rFonts w:ascii="標楷體" w:cs="標楷體" w:eastAsia="標楷體" w:hAnsi="標楷體"/>
          <w:b w:val="false"/>
          <w:bCs w:val="false"/>
          <w:sz w:val="24"/>
          <w:szCs w:val="24"/>
        </w:rPr>
        <w:t xml:space="preserve">6.7.1 不符合事項與矯正措施（條款 10.1）</w:t>
      </w:r>
    </w:p>
    <w:p>
      <w:pPr>
        <w:keepNext w:val="false"/>
        <w:spacing w:after="0" w:before="0" w:line="240"/>
        <w:ind w:left="1200" w:hanging="240"/>
      </w:pPr>
      <w:r>
        <w:rPr>
          <w:rFonts w:ascii="標楷體" w:cs="標楷體" w:eastAsia="標楷體" w:hAnsi="標楷體"/>
          <w:b w:val="false"/>
          <w:bCs w:val="false"/>
          <w:sz w:val="24"/>
          <w:szCs w:val="24"/>
        </w:rPr>
        <w:t xml:space="preserve">6.7.1.1 不符合事項之來源包括：內部稽核發現、第三方驗證發現、守規性評估之不符合、能源績效重大偏差、監督量測異常、管理階層審查決議、同仁反映及主管機關指正。</w:t>
      </w:r>
    </w:p>
    <w:p>
      <w:pPr>
        <w:keepNext w:val="false"/>
        <w:spacing w:after="0" w:before="0" w:line="240"/>
        <w:ind w:left="1200" w:hanging="240"/>
      </w:pPr>
      <w:r>
        <w:rPr>
          <w:rFonts w:ascii="標楷體" w:cs="標楷體" w:eastAsia="標楷體" w:hAnsi="標楷體"/>
          <w:b w:val="false"/>
          <w:bCs w:val="false"/>
          <w:sz w:val="24"/>
          <w:szCs w:val="24"/>
        </w:rPr>
        <w:t xml:space="preserve">6.7.1.2 發生不符合事項時，應依下列步驟辦理：</w:t>
      </w:r>
    </w:p>
    <w:p>
      <w:pPr>
        <w:keepNext w:val="false"/>
        <w:spacing w:after="0" w:before="0" w:line="240"/>
        <w:ind w:left="1440" w:hanging="240"/>
      </w:pPr>
      <w:r>
        <w:rPr>
          <w:rFonts w:ascii="標楷體" w:cs="標楷體" w:eastAsia="標楷體" w:hAnsi="標楷體"/>
          <w:b w:val="false"/>
          <w:bCs w:val="false"/>
          <w:sz w:val="24"/>
          <w:szCs w:val="24"/>
        </w:rPr>
        <w:t xml:space="preserve">(1) 反應：採取措施加以管制及改正，並處理其所造成之後果。</w:t>
      </w:r>
    </w:p>
    <w:p>
      <w:pPr>
        <w:keepNext w:val="false"/>
        <w:spacing w:after="0" w:before="0" w:line="240"/>
        <w:ind w:left="1440" w:hanging="240"/>
      </w:pPr>
      <w:r>
        <w:rPr>
          <w:rFonts w:ascii="標楷體" w:cs="標楷體" w:eastAsia="標楷體" w:hAnsi="標楷體"/>
          <w:b w:val="false"/>
          <w:bCs w:val="false"/>
          <w:sz w:val="24"/>
          <w:szCs w:val="24"/>
        </w:rPr>
        <w:t xml:space="preserve">(2) 評估：評估是否須採取措施以消除不符合事項之原因，避免其再發生或發生於他處；其評估應包括審查與分析不符合事項、決定其原因，及判定是否有類似或可能發生之不符合事項。</w:t>
      </w:r>
    </w:p>
    <w:p>
      <w:pPr>
        <w:keepNext w:val="false"/>
        <w:spacing w:after="0" w:before="0" w:line="240"/>
        <w:ind w:left="1440" w:hanging="240"/>
      </w:pPr>
      <w:r>
        <w:rPr>
          <w:rFonts w:ascii="標楷體" w:cs="標楷體" w:eastAsia="標楷體" w:hAnsi="標楷體"/>
          <w:b w:val="false"/>
          <w:bCs w:val="false"/>
          <w:sz w:val="24"/>
          <w:szCs w:val="24"/>
        </w:rPr>
        <w:t xml:space="preserve">(3) 實施：實施所需之矯正措施，並明定完成期限與責任單位。</w:t>
      </w:r>
    </w:p>
    <w:p>
      <w:pPr>
        <w:keepNext w:val="false"/>
        <w:spacing w:after="0" w:before="0" w:line="240"/>
        <w:ind w:left="1440" w:hanging="240"/>
      </w:pPr>
      <w:r>
        <w:rPr>
          <w:rFonts w:ascii="標楷體" w:cs="標楷體" w:eastAsia="標楷體" w:hAnsi="標楷體"/>
          <w:b w:val="false"/>
          <w:bCs w:val="false"/>
          <w:sz w:val="24"/>
          <w:szCs w:val="24"/>
        </w:rPr>
        <w:t xml:space="preserve">(4) 審查：審查所採取矯正措施之有效性；有效者予以結案，無效者重新分析原因並另定措施。</w:t>
      </w:r>
    </w:p>
    <w:p>
      <w:pPr>
        <w:keepNext w:val="false"/>
        <w:spacing w:after="0" w:before="0" w:line="240"/>
        <w:ind w:left="1440" w:hanging="240"/>
      </w:pPr>
      <w:r>
        <w:rPr>
          <w:rFonts w:ascii="標楷體" w:cs="標楷體" w:eastAsia="標楷體" w:hAnsi="標楷體"/>
          <w:b w:val="false"/>
          <w:bCs w:val="false"/>
          <w:sz w:val="24"/>
          <w:szCs w:val="24"/>
        </w:rPr>
        <w:t xml:space="preserve">(5) 變更：必要時對能源管理系統作出變更，並依 1D10ATP0050 辦理。</w:t>
      </w:r>
    </w:p>
    <w:p>
      <w:pPr>
        <w:keepNext w:val="false"/>
        <w:spacing w:after="0" w:before="0" w:line="240"/>
        <w:ind w:left="1200" w:hanging="240"/>
      </w:pPr>
      <w:r>
        <w:rPr>
          <w:rFonts w:ascii="標楷體" w:cs="標楷體" w:eastAsia="標楷體" w:hAnsi="標楷體"/>
          <w:b w:val="false"/>
          <w:bCs w:val="false"/>
          <w:sz w:val="24"/>
          <w:szCs w:val="24"/>
        </w:rPr>
        <w:t xml:space="preserve">6.7.1.3 矯正措施應與所遭遇不符合事項之影響程度相稱。</w:t>
      </w:r>
    </w:p>
    <w:p>
      <w:pPr>
        <w:keepNext w:val="false"/>
        <w:spacing w:after="0" w:before="0" w:line="240"/>
        <w:ind w:left="1200" w:hanging="240"/>
      </w:pPr>
      <w:r>
        <w:rPr>
          <w:rFonts w:ascii="標楷體" w:cs="標楷體" w:eastAsia="標楷體" w:hAnsi="標楷體"/>
          <w:b w:val="false"/>
          <w:bCs w:val="false"/>
          <w:sz w:val="24"/>
          <w:szCs w:val="24"/>
        </w:rPr>
        <w:t xml:space="preserve">6.7.1.4 前列作業以 1D10ATF5009 不符合事項與矯正措施處理單填載並追蹤，經 ISO 50001管理代表核定後結案。</w:t>
      </w:r>
    </w:p>
    <w:p>
      <w:pPr>
        <w:keepNext w:val="false"/>
        <w:spacing w:after="0" w:before="0" w:line="240"/>
        <w:ind w:left="1200" w:hanging="240"/>
      </w:pPr>
      <w:r>
        <w:rPr>
          <w:rFonts w:ascii="標楷體" w:cs="標楷體" w:eastAsia="標楷體" w:hAnsi="標楷體"/>
          <w:b w:val="false"/>
          <w:bCs w:val="false"/>
          <w:sz w:val="24"/>
          <w:szCs w:val="24"/>
        </w:rPr>
        <w:t xml:space="preserve">6.7.1.5 未結案之不符合事項，應列入能源管理盤查小組定期會議追蹤管制，並提報管理階層審查。</w:t>
      </w:r>
    </w:p>
    <w:p>
      <w:pPr>
        <w:keepNext w:val="false"/>
        <w:spacing w:after="0" w:before="0" w:line="240"/>
        <w:ind w:left="1200" w:hanging="240"/>
      </w:pPr>
      <w:r>
        <w:rPr>
          <w:rFonts w:ascii="標楷體" w:cs="標楷體" w:eastAsia="標楷體" w:hAnsi="標楷體"/>
          <w:b w:val="false"/>
          <w:bCs w:val="false"/>
          <w:sz w:val="24"/>
          <w:szCs w:val="24"/>
        </w:rPr>
        <w:t xml:space="preserve">6.7.1.6 文件化資訊：不符合事項之性質、所採取之後續措施及矯正措施之結果，均應保存為文件化資訊。</w:t>
      </w:r>
    </w:p>
    <w:p>
      <w:pPr>
        <w:keepNext w:val="false"/>
        <w:spacing w:after="0" w:before="0" w:line="240"/>
        <w:ind w:left="960" w:hanging="240"/>
      </w:pPr>
      <w:r>
        <w:rPr>
          <w:rFonts w:ascii="標楷體" w:cs="標楷體" w:eastAsia="標楷體" w:hAnsi="標楷體"/>
          <w:b w:val="false"/>
          <w:bCs w:val="false"/>
          <w:sz w:val="24"/>
          <w:szCs w:val="24"/>
        </w:rPr>
        <w:t xml:space="preserve">6.7.2 持續改進（條款 10.2）</w:t>
      </w:r>
    </w:p>
    <w:p>
      <w:pPr>
        <w:keepNext w:val="false"/>
        <w:spacing w:after="0" w:before="0" w:line="240"/>
        <w:ind w:left="1200" w:hanging="240"/>
      </w:pPr>
      <w:r>
        <w:rPr>
          <w:rFonts w:ascii="標楷體" w:cs="標楷體" w:eastAsia="標楷體" w:hAnsi="標楷體"/>
          <w:b w:val="false"/>
          <w:bCs w:val="false"/>
          <w:sz w:val="24"/>
          <w:szCs w:val="24"/>
        </w:rPr>
        <w:t xml:space="preserve">6.7.2.1 本院持續改進能源管理系統之合適性、充分性及有效性。</w:t>
      </w:r>
    </w:p>
    <w:p>
      <w:pPr>
        <w:keepNext w:val="false"/>
        <w:spacing w:after="0" w:before="0" w:line="240"/>
        <w:ind w:left="1200" w:hanging="240"/>
      </w:pPr>
      <w:r>
        <w:rPr>
          <w:rFonts w:ascii="標楷體" w:cs="標楷體" w:eastAsia="標楷體" w:hAnsi="標楷體"/>
          <w:b w:val="false"/>
          <w:bCs w:val="false"/>
          <w:sz w:val="24"/>
          <w:szCs w:val="24"/>
        </w:rPr>
        <w:t xml:space="preserve">6.7.2.2 本院透過能源審查更新、目標與能源標的之逐年提升、行動計畫之執行及管理階層審查之決議，展現能源績效之持續改進。</w:t>
      </w:r>
    </w:p>
    <w:p>
      <w:pPr>
        <w:keepNext/>
        <w:spacing w:after="50" w:before="150" w:line="240"/>
      </w:pPr>
      <w:r>
        <w:rPr>
          <w:rFonts w:ascii="標楷體" w:cs="標楷體" w:eastAsia="標楷體" w:hAnsi="標楷體"/>
          <w:b/>
          <w:bCs/>
          <w:sz w:val="24"/>
          <w:szCs w:val="24"/>
        </w:rPr>
        <w:t xml:space="preserve">7.流 程 圖：</w:t>
      </w:r>
    </w:p>
    <w:p>
      <w:pPr>
        <w:keepNext w:val="false"/>
        <w:spacing w:after="0" w:before="50" w:line="240"/>
        <w:ind w:left="720" w:hanging="240"/>
      </w:pPr>
      <w:r>
        <w:rPr>
          <w:rFonts w:ascii="標楷體" w:cs="標楷體" w:eastAsia="標楷體" w:hAnsi="標楷體"/>
          <w:b w:val="false"/>
          <w:bCs w:val="false"/>
          <w:sz w:val="24"/>
          <w:szCs w:val="24"/>
        </w:rPr>
        <w:t xml:space="preserve">7.1 能源管理系統 PDCA 架構與 ISO 50001:2018 條款對應如下圖。</w:t>
      </w:r>
    </w:p>
    <w:p>
      <w:pPr>
        <w:spacing w:after="120" w:before="120"/>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3343275"/>
                    </a:xfrm>
                    <a:prstGeom prst="rect">
                      <a:avLst/>
                    </a:prstGeom>
                  </pic:spPr>
                </pic:pic>
              </a:graphicData>
            </a:graphic>
          </wp:inline>
        </w:drawing>
      </w:r>
    </w:p>
    <w:p>
      <w:pPr>
        <w:keepNext w:val="false"/>
        <w:spacing w:after="0" w:before="50" w:line="240"/>
        <w:ind w:left="720" w:hanging="240"/>
      </w:pPr>
      <w:r>
        <w:rPr>
          <w:rFonts w:ascii="標楷體" w:cs="標楷體" w:eastAsia="標楷體" w:hAnsi="標楷體"/>
          <w:b w:val="false"/>
          <w:bCs w:val="false"/>
          <w:sz w:val="24"/>
          <w:szCs w:val="24"/>
        </w:rPr>
        <w:t xml:space="preserve">7.2 本院能源管理系統文件分為四階：第一階手冊與組織章程、第二階作業程序書、第三階作業指導書、第四階表單與記錄；各階文件之編號、版次及對應條款，詳 1D10ATF5002 能源管理系統文件清冊。</w:t>
      </w:r>
    </w:p>
    <w:p>
      <w:pPr>
        <w:keepNext/>
        <w:spacing w:after="50" w:before="150" w:line="240"/>
      </w:pPr>
      <w:r>
        <w:rPr>
          <w:rFonts w:ascii="標楷體" w:cs="標楷體" w:eastAsia="標楷體" w:hAnsi="標楷體"/>
          <w:b/>
          <w:bCs/>
          <w:sz w:val="24"/>
          <w:szCs w:val="24"/>
        </w:rPr>
        <w:t xml:space="preserve">8.稽核機制：</w:t>
      </w:r>
    </w:p>
    <w:p>
      <w:pPr>
        <w:keepNext w:val="false"/>
        <w:spacing w:after="0" w:before="50" w:line="240"/>
        <w:ind w:left="720" w:hanging="240"/>
      </w:pPr>
      <w:r>
        <w:rPr>
          <w:rFonts w:ascii="標楷體" w:cs="標楷體" w:eastAsia="標楷體" w:hAnsi="標楷體"/>
          <w:b w:val="false"/>
          <w:bCs w:val="false"/>
          <w:sz w:val="24"/>
          <w:szCs w:val="24"/>
        </w:rPr>
        <w:t xml:space="preserve">8.1 權責人員：內部稽核員（依 ISO 50001:2018 條款 9.2 遴選，並確保稽核過程之客觀性與公正性）。</w:t>
      </w:r>
    </w:p>
    <w:p>
      <w:pPr>
        <w:keepNext w:val="false"/>
        <w:spacing w:after="0" w:before="50" w:line="240"/>
        <w:ind w:left="720" w:hanging="240"/>
      </w:pPr>
      <w:r>
        <w:rPr>
          <w:rFonts w:ascii="標楷體" w:cs="標楷體" w:eastAsia="標楷體" w:hAnsi="標楷體"/>
          <w:b w:val="false"/>
          <w:bCs w:val="false"/>
          <w:sz w:val="24"/>
          <w:szCs w:val="24"/>
        </w:rPr>
        <w:t xml:space="preserve">8.2 稽核時機：每年至少一次，並於當年度管理階層審查前完成。</w:t>
      </w:r>
    </w:p>
    <w:p>
      <w:pPr>
        <w:keepNext w:val="false"/>
        <w:spacing w:after="0" w:before="50" w:line="240"/>
        <w:ind w:left="720" w:hanging="240"/>
      </w:pPr>
      <w:r>
        <w:rPr>
          <w:rFonts w:ascii="標楷體" w:cs="標楷體" w:eastAsia="標楷體" w:hAnsi="標楷體"/>
          <w:b w:val="false"/>
          <w:bCs w:val="false"/>
          <w:sz w:val="24"/>
          <w:szCs w:val="24"/>
        </w:rPr>
        <w:t xml:space="preserve">8.3 稽核工具：內部稽核計畫、內部稽核查檢表、能源績效指標統計資料、能源管理盤查小組會議紀錄及決議追蹤表。</w:t>
      </w:r>
    </w:p>
    <w:p>
      <w:pPr>
        <w:keepNext w:val="false"/>
        <w:spacing w:after="0" w:before="50" w:line="240"/>
        <w:ind w:left="720" w:hanging="240"/>
      </w:pPr>
      <w:r>
        <w:rPr>
          <w:rFonts w:ascii="標楷體" w:cs="標楷體" w:eastAsia="標楷體" w:hAnsi="標楷體"/>
          <w:b w:val="false"/>
          <w:bCs w:val="false"/>
          <w:sz w:val="24"/>
          <w:szCs w:val="24"/>
        </w:rPr>
        <w:t xml:space="preserve">8.4 稽核重點：本手冊所定各項機制是否落實，特別包括能源政策與目標之年度審議、ISO 50001管理代表指派之有效性、能源基準與能源績效指標之維護，以及各階文件版本之有效性。</w:t>
      </w:r>
    </w:p>
    <w:p>
      <w:pPr>
        <w:keepNext/>
        <w:spacing w:after="50" w:before="150" w:line="240"/>
      </w:pPr>
      <w:r>
        <w:rPr>
          <w:rFonts w:ascii="標楷體" w:cs="標楷體" w:eastAsia="標楷體" w:hAnsi="標楷體"/>
          <w:b/>
          <w:bCs/>
          <w:sz w:val="24"/>
          <w:szCs w:val="24"/>
        </w:rPr>
        <w:t xml:space="preserve">9.記　　錄：</w:t>
      </w:r>
    </w:p>
    <w:p>
      <w:pPr>
        <w:keepNext w:val="false"/>
        <w:spacing w:after="0" w:before="50" w:line="240"/>
        <w:ind w:left="720" w:hanging="240"/>
      </w:pPr>
      <w:r>
        <w:rPr>
          <w:rFonts w:ascii="標楷體" w:cs="標楷體" w:eastAsia="標楷體" w:hAnsi="標楷體"/>
          <w:b w:val="false"/>
          <w:bCs w:val="false"/>
          <w:sz w:val="24"/>
          <w:szCs w:val="24"/>
        </w:rPr>
        <w:t xml:space="preserve">9.1 能源管理盤查小組會議紀錄及決議追蹤表。</w:t>
      </w:r>
    </w:p>
    <w:p>
      <w:pPr>
        <w:keepNext w:val="false"/>
        <w:spacing w:after="0" w:before="50" w:line="240"/>
        <w:ind w:left="720" w:hanging="240"/>
      </w:pPr>
      <w:r>
        <w:rPr>
          <w:rFonts w:ascii="標楷體" w:cs="標楷體" w:eastAsia="標楷體" w:hAnsi="標楷體"/>
          <w:b w:val="false"/>
          <w:bCs w:val="false"/>
          <w:sz w:val="24"/>
          <w:szCs w:val="24"/>
        </w:rPr>
        <w:t xml:space="preserve">9.2 管理階層審查會議紀錄。</w:t>
      </w:r>
    </w:p>
    <w:p>
      <w:pPr>
        <w:keepNext w:val="false"/>
        <w:spacing w:after="0" w:before="50" w:line="240"/>
        <w:ind w:left="720" w:hanging="240"/>
      </w:pPr>
      <w:r>
        <w:rPr>
          <w:rFonts w:ascii="標楷體" w:cs="標楷體" w:eastAsia="標楷體" w:hAnsi="標楷體"/>
          <w:b w:val="false"/>
          <w:bCs w:val="false"/>
          <w:sz w:val="24"/>
          <w:szCs w:val="24"/>
        </w:rPr>
        <w:t xml:space="preserve">9.3 能源基準(能源基線EnB)報告、能源績效指標(EnPI)報告、行動方案報告。</w:t>
      </w:r>
    </w:p>
    <w:p>
      <w:pPr>
        <w:keepNext w:val="false"/>
        <w:spacing w:after="0" w:before="50" w:line="240"/>
        <w:ind w:left="720" w:hanging="240"/>
      </w:pPr>
      <w:r>
        <w:rPr>
          <w:rFonts w:ascii="標楷體" w:cs="標楷體" w:eastAsia="標楷體" w:hAnsi="標楷體"/>
          <w:b w:val="false"/>
          <w:bCs w:val="false"/>
          <w:sz w:val="24"/>
          <w:szCs w:val="24"/>
        </w:rPr>
        <w:t xml:space="preserve">9.4 機會與風險評估表。</w:t>
      </w:r>
    </w:p>
    <w:p>
      <w:pPr>
        <w:keepNext w:val="false"/>
        <w:spacing w:after="0" w:before="50" w:line="240"/>
        <w:ind w:left="720" w:hanging="240"/>
      </w:pPr>
      <w:r>
        <w:rPr>
          <w:rFonts w:ascii="標楷體" w:cs="標楷體" w:eastAsia="標楷體" w:hAnsi="標楷體"/>
          <w:b w:val="false"/>
          <w:bCs w:val="false"/>
          <w:sz w:val="24"/>
          <w:szCs w:val="24"/>
        </w:rPr>
        <w:t xml:space="preserve">9.5 1D10ATF5007 內部稽核計畫表、1D10ATF5008 內部稽核查檢表。</w:t>
      </w:r>
    </w:p>
    <w:p>
      <w:pPr>
        <w:keepNext w:val="false"/>
        <w:spacing w:after="0" w:before="50" w:line="240"/>
        <w:ind w:left="720" w:hanging="240"/>
      </w:pPr>
      <w:r>
        <w:rPr>
          <w:rFonts w:ascii="標楷體" w:cs="標楷體" w:eastAsia="標楷體" w:hAnsi="標楷體"/>
          <w:b w:val="false"/>
          <w:bCs w:val="false"/>
          <w:sz w:val="24"/>
          <w:szCs w:val="24"/>
        </w:rPr>
        <w:t xml:space="preserve">9.5.1 1D10ATF5009 不符合事項與矯正措施處理單。</w:t>
      </w:r>
    </w:p>
    <w:p>
      <w:pPr>
        <w:keepNext w:val="false"/>
        <w:spacing w:after="0" w:before="50" w:line="240"/>
        <w:ind w:left="720" w:hanging="240"/>
      </w:pPr>
      <w:r>
        <w:rPr>
          <w:rFonts w:ascii="標楷體" w:cs="標楷體" w:eastAsia="標楷體" w:hAnsi="標楷體"/>
          <w:b w:val="false"/>
          <w:bCs w:val="false"/>
          <w:sz w:val="24"/>
          <w:szCs w:val="24"/>
        </w:rPr>
        <w:t xml:space="preserve">9.5.2 1D10ATF5010 管理階層審查會議紀錄。</w:t>
      </w:r>
    </w:p>
    <w:p>
      <w:pPr>
        <w:keepNext w:val="false"/>
        <w:spacing w:after="0" w:before="50" w:line="240"/>
        <w:ind w:left="720" w:hanging="240"/>
      </w:pPr>
      <w:r>
        <w:rPr>
          <w:rFonts w:ascii="標楷體" w:cs="標楷體" w:eastAsia="標楷體" w:hAnsi="標楷體"/>
          <w:b w:val="false"/>
          <w:bCs w:val="false"/>
          <w:sz w:val="24"/>
          <w:szCs w:val="24"/>
        </w:rPr>
        <w:t xml:space="preserve">9.6 守規性評估紀錄、教育訓練紀錄。</w:t>
      </w:r>
    </w:p>
    <w:p>
      <w:pPr>
        <w:keepNext w:val="false"/>
        <w:spacing w:after="0" w:before="50" w:line="240"/>
        <w:ind w:left="720" w:hanging="240"/>
      </w:pPr>
      <w:r>
        <w:rPr>
          <w:rFonts w:ascii="標楷體" w:cs="標楷體" w:eastAsia="標楷體" w:hAnsi="標楷體"/>
          <w:b w:val="false"/>
          <w:bCs w:val="false"/>
          <w:sz w:val="24"/>
          <w:szCs w:val="24"/>
        </w:rPr>
        <w:t xml:space="preserve">9.7 前列記錄依 ISO 50001:2018 條款 7.5 保存為文件化資訊，保存年限至少三年，並依 0220ATP0001 辦理管制。</w:t>
      </w:r>
    </w:p>
    <w:p>
      <w:pPr>
        <w:keepNext/>
        <w:spacing w:after="50" w:before="150" w:line="240"/>
      </w:pPr>
      <w:r>
        <w:rPr>
          <w:rFonts w:ascii="標楷體" w:cs="標楷體" w:eastAsia="標楷體" w:hAnsi="標楷體"/>
          <w:b/>
          <w:bCs/>
          <w:sz w:val="24"/>
          <w:szCs w:val="24"/>
        </w:rPr>
        <w:t xml:space="preserve">10.附　　件：</w:t>
      </w:r>
    </w:p>
    <w:p>
      <w:pPr>
        <w:keepNext w:val="false"/>
        <w:spacing w:after="0" w:before="50" w:line="240"/>
        <w:ind w:left="720" w:hanging="240"/>
      </w:pPr>
      <w:r>
        <w:rPr>
          <w:rFonts w:ascii="標楷體" w:cs="標楷體" w:eastAsia="標楷體" w:hAnsi="標楷體"/>
          <w:b w:val="false"/>
          <w:bCs w:val="false"/>
          <w:sz w:val="24"/>
          <w:szCs w:val="24"/>
        </w:rPr>
        <w:t xml:space="preserve">10.1 本手冊之能源政策與目標專頁（第 6.2.3 節），為本手冊組成部分，不另編附件編號、不單獨發行。</w:t>
      </w:r>
    </w:p>
    <w:p>
      <w:pPr>
        <w:keepNext w:val="false"/>
        <w:spacing w:after="0" w:before="50" w:line="240"/>
        <w:ind w:left="720" w:hanging="240"/>
      </w:pPr>
      <w:r>
        <w:rPr>
          <w:rFonts w:ascii="標楷體" w:cs="標楷體" w:eastAsia="標楷體" w:hAnsi="標楷體"/>
          <w:b w:val="false"/>
          <w:bCs w:val="false"/>
          <w:sz w:val="24"/>
          <w:szCs w:val="24"/>
        </w:rPr>
        <w:t xml:space="preserve">10.2 本手冊第 6.6.4 節（內部稽核）、第 6.6.5 節（管理階層審查）及第 6.7.1 節（不符合事項與矯正措施）之作業，不另訂程序書，其紀錄以下列四階表單管制，隨本手冊發行：</w:t>
      </w:r>
    </w:p>
    <w:p>
      <w:pPr>
        <w:keepNext w:val="false"/>
        <w:spacing w:after="0" w:before="0" w:line="240"/>
        <w:ind w:left="960" w:hanging="240"/>
      </w:pPr>
      <w:r>
        <w:rPr>
          <w:rFonts w:ascii="標楷體" w:cs="標楷體" w:eastAsia="標楷體" w:hAnsi="標楷體"/>
          <w:b w:val="false"/>
          <w:bCs w:val="false"/>
          <w:sz w:val="24"/>
          <w:szCs w:val="24"/>
        </w:rPr>
        <w:t xml:space="preserve">10.2.1 1D10ATF5007 內部稽核計畫表。</w:t>
      </w:r>
    </w:p>
    <w:p>
      <w:pPr>
        <w:keepNext w:val="false"/>
        <w:spacing w:after="0" w:before="0" w:line="240"/>
        <w:ind w:left="960" w:hanging="240"/>
      </w:pPr>
      <w:r>
        <w:rPr>
          <w:rFonts w:ascii="標楷體" w:cs="標楷體" w:eastAsia="標楷體" w:hAnsi="標楷體"/>
          <w:b w:val="false"/>
          <w:bCs w:val="false"/>
          <w:sz w:val="24"/>
          <w:szCs w:val="24"/>
        </w:rPr>
        <w:t xml:space="preserve">10.2.2 1D10ATF5008 內部稽核查檢表。</w:t>
      </w:r>
    </w:p>
    <w:p>
      <w:pPr>
        <w:keepNext w:val="false"/>
        <w:spacing w:after="0" w:before="0" w:line="240"/>
        <w:ind w:left="960" w:hanging="240"/>
      </w:pPr>
      <w:r>
        <w:rPr>
          <w:rFonts w:ascii="標楷體" w:cs="標楷體" w:eastAsia="標楷體" w:hAnsi="標楷體"/>
          <w:b w:val="false"/>
          <w:bCs w:val="false"/>
          <w:sz w:val="24"/>
          <w:szCs w:val="24"/>
        </w:rPr>
        <w:t xml:space="preserve">10.2.3 1D10ATF5009 不符合事項與矯正措施處理單。</w:t>
      </w:r>
    </w:p>
    <w:p>
      <w:pPr>
        <w:keepNext w:val="false"/>
        <w:spacing w:after="0" w:before="0" w:line="240"/>
        <w:ind w:left="960" w:hanging="240"/>
      </w:pPr>
      <w:r>
        <w:rPr>
          <w:rFonts w:ascii="標楷體" w:cs="標楷體" w:eastAsia="標楷體" w:hAnsi="標楷體"/>
          <w:b w:val="false"/>
          <w:bCs w:val="false"/>
          <w:sz w:val="24"/>
          <w:szCs w:val="24"/>
        </w:rPr>
        <w:t xml:space="preserve">10.2.4 1D10ATF5010 管理階層審查會議紀錄。</w:t>
      </w:r>
    </w:p>
    <w:p>
      <w:pPr>
        <w:keepNext w:val="false"/>
        <w:spacing w:after="0" w:before="50" w:line="240"/>
        <w:ind w:left="720" w:hanging="240"/>
      </w:pPr>
      <w:r>
        <w:rPr>
          <w:rFonts w:ascii="標楷體" w:cs="標楷體" w:eastAsia="標楷體" w:hAnsi="標楷體"/>
          <w:b w:val="false"/>
          <w:bCs w:val="false"/>
          <w:sz w:val="24"/>
          <w:szCs w:val="24"/>
        </w:rPr>
        <w:t xml:space="preserve">10.3 本系統各階文件詳 1D10ATF5002 能源管理系統文件清冊，不另附錄於本手冊。</w:t>
      </w:r>
    </w:p>
    <w:sectPr>
      <w:headerReference w:type="default" r:id="rId8"/>
      <w:footerReference w:type="default" r:id="rId9"/>
      <w:pgSz w:w="11906" w:h="16838" w:orient="portrait"/>
      <w:pgMar w:top="850" w:right="850" w:bottom="850" w:left="850" w:header="40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312"/>
      </w:tabs>
    </w:pPr>
    <w:r>
      <w:rPr>
        <w:rFonts w:ascii="標楷體" w:cs="標楷體" w:eastAsia="標楷體" w:hAnsi="標楷體"/>
        <w:b w:val="false"/>
        <w:bCs w:val="false"/>
        <w:sz w:val="18"/>
        <w:szCs w:val="18"/>
      </w:rPr>
      <w:t xml:space="preserve">光田綜合醫院文件，非經許可不得以任何方式翻製或複印</w:t>
    </w:r>
    <w:r>
      <w:tab/>
    </w:r>
    <w:r>
      <w:rPr>
        <w:rFonts w:ascii="標楷體" w:cs="標楷體" w:eastAsia="標楷體" w:hAnsi="標楷體"/>
        <w:b w:val="false"/>
        <w:bCs w:val="false"/>
        <w:sz w:val="20"/>
        <w:szCs w:val="20"/>
      </w:rPr>
      <w:t xml:space="preserve">文件發行章：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300"/>
      <w:gridCol w:w="4506"/>
      <w:gridCol w:w="1400"/>
      <w:gridCol w:w="3000"/>
    </w:tblGrid>
    <w:tr>
      <w:tc>
        <w:tcPr>
          <w:tcW w:type="dxa" w:w="13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文件名稱</w:t>
          </w:r>
        </w:p>
      </w:tc>
      <w:tc>
        <w:tcPr>
          <w:tcW w:type="dxa" w:w="4506"/>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能源管理手冊</w:t>
          </w:r>
        </w:p>
      </w:tc>
      <w:tc>
        <w:tcPr>
          <w:tcW w:type="dxa" w:w="14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文件編號</w:t>
          </w:r>
        </w:p>
      </w:tc>
      <w:tc>
        <w:tcPr>
          <w:tcW w:type="dxa" w:w="30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1D10ATQ0001-(01)</w:t>
          </w:r>
        </w:p>
      </w:tc>
    </w:tr>
    <w:tr>
      <w:tc>
        <w:tcPr>
          <w:tcW w:type="dxa" w:w="1300"/>
          <w:vMerge w:val="restart"/>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文件類別</w:t>
          </w:r>
        </w:p>
      </w:tc>
      <w:tc>
        <w:tcPr>
          <w:tcW w:type="dxa" w:w="4506"/>
          <w:vMerge w:val="restart"/>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品　質　手　冊</w:t>
          </w:r>
        </w:p>
      </w:tc>
      <w:tc>
        <w:tcPr>
          <w:tcW w:type="dxa" w:w="14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頁　　次</w:t>
          </w:r>
        </w:p>
      </w:tc>
      <w:tc>
        <w:tcPr>
          <w:tcW w:type="dxa" w:w="3000"/>
          <w:tcMar>
            <w:top w:type="dxa" w:w="50"/>
            <w:left w:type="dxa" w:w="80"/>
            <w:bottom w:type="dxa" w:w="50"/>
            <w:right w:type="dxa" w:w="80"/>
          </w:tcMar>
          <w:vAlign w:val="center"/>
        </w:tcPr>
        <w:p>
          <w:pPr>
            <w:jc w:val="center"/>
          </w:pPr>
          <w:r>
            <w:rPr>
              <w:rFonts w:ascii="標楷體" w:cs="標楷體" w:eastAsia="標楷體" w:hAnsi="標楷體"/>
              <w:sz w:val="20"/>
              <w:szCs w:val="20"/>
            </w:rPr>
            <w:t xml:space="preserve">第 </w:t>
            <w:fldChar w:fldCharType="begin"/>
            <w:instrText xml:space="preserve">PAGE</w:instrText>
            <w:fldChar w:fldCharType="separate"/>
            <w:fldChar w:fldCharType="end"/>
            <w:t xml:space="preserve"> 頁、共 8 頁</w:t>
          </w:r>
        </w:p>
      </w:tc>
    </w:tr>
    <w:tr>
      <w:tc>
        <w:tcPr>
          <w:tcW w:type="dxa" w:w="1300"/>
          <w:vMerge w:val="continue"/>
          <w:shd w:fill="E8E8E8" w:color="auto" w:val="clear"/>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4506"/>
          <w:vMerge w:val="continue"/>
          <w:tcMar>
            <w:top w:type="dxa" w:w="50"/>
            <w:left w:type="dxa" w:w="80"/>
            <w:bottom w:type="dxa" w:w="50"/>
            <w:right w:type="dxa" w:w="80"/>
          </w:tcMar>
          <w:vAlign w:val="center"/>
        </w:tcPr>
        <w:p>
          <w:pPr>
            <w:spacing w:line="240"/>
            <w:jc w:val="left"/>
          </w:pPr>
          <w:r>
            <w:rPr>
              <w:rFonts w:ascii="標楷體" w:cs="標楷體" w:eastAsia="標楷體" w:hAnsi="標楷體"/>
              <w:b w:val="false"/>
              <w:bCs w:val="false"/>
              <w:sz w:val="21"/>
              <w:szCs w:val="21"/>
            </w:rPr>
            <w:t xml:space="preserve"/>
          </w:r>
        </w:p>
      </w:tc>
      <w:tc>
        <w:tcPr>
          <w:tcW w:type="dxa" w:w="1400"/>
          <w:shd w:fill="E8E8E8" w:color="auto" w:val="clear"/>
          <w:tcMar>
            <w:top w:type="dxa" w:w="50"/>
            <w:left w:type="dxa" w:w="80"/>
            <w:bottom w:type="dxa" w:w="50"/>
            <w:right w:type="dxa" w:w="80"/>
          </w:tcMar>
          <w:vAlign w:val="center"/>
        </w:tcPr>
        <w:p>
          <w:pPr>
            <w:spacing w:line="240"/>
            <w:jc w:val="center"/>
          </w:pPr>
          <w:r>
            <w:rPr>
              <w:rFonts w:ascii="標楷體" w:cs="標楷體" w:eastAsia="標楷體" w:hAnsi="標楷體"/>
              <w:b/>
              <w:bCs/>
              <w:sz w:val="20"/>
              <w:szCs w:val="20"/>
            </w:rPr>
            <w:t xml:space="preserve">所屬單位</w:t>
          </w:r>
        </w:p>
      </w:tc>
      <w:tc>
        <w:tcPr>
          <w:tcW w:type="dxa" w:w="3000"/>
          <w:tcMar>
            <w:top w:type="dxa" w:w="50"/>
            <w:left w:type="dxa" w:w="80"/>
            <w:bottom w:type="dxa" w:w="50"/>
            <w:right w:type="dxa" w:w="80"/>
          </w:tcMar>
          <w:vAlign w:val="center"/>
        </w:tcPr>
        <w:p>
          <w:pPr>
            <w:spacing w:line="240"/>
            <w:jc w:val="center"/>
          </w:pPr>
          <w:r>
            <w:rPr>
              <w:rFonts w:ascii="標楷體" w:cs="標楷體" w:eastAsia="標楷體" w:hAnsi="標楷體"/>
              <w:b w:val="false"/>
              <w:bCs w:val="false"/>
              <w:sz w:val="20"/>
              <w:szCs w:val="20"/>
            </w:rPr>
            <w:t xml:space="preserve">總務部</w:t>
          </w:r>
        </w:p>
      </w:tc>
    </w:tr>
  </w:tbl>
  <w:p>
    <w:pPr>
      <w:spacing w:after="0" w:lin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e8f6918e6803fd512c8b9a151829a1c0fa5dbcf.jpg"/><Relationship Id="rId11" Type="http://schemas.openxmlformats.org/officeDocument/2006/relationships/image" Target="media/7dee69c4d667bb7b83d85de1368af5fbb236b5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2026-08-07T18:14:39.262Z</dcterms:created>
  <dcterms:modified xsi:type="dcterms:W3CDTF">2026-08-07T18:14:39.262Z</dcterms:modified>
</cp:coreProperties>
</file>

<file path=docProps/custom.xml><?xml version="1.0" encoding="utf-8"?>
<Properties xmlns="http://schemas.openxmlformats.org/officeDocument/2006/custom-properties" xmlns:vt="http://schemas.openxmlformats.org/officeDocument/2006/docPropsVTypes"/>
</file>