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標楷體" w:cs="標楷體" w:eastAsia="標楷體" w:hAnsi="標楷體"/>
          <w:b/>
          <w:bCs/>
          <w:sz w:val="30"/>
          <w:szCs w:val="30"/>
        </w:rPr>
        <w:t xml:space="preserve">光田醫療社團法人　光田綜合醫院</w:t>
      </w:r>
    </w:p>
    <w:p>
      <w:pPr>
        <w:spacing w:after="7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Kuang Tien General Hospital</w:t>
      </w:r>
    </w:p>
    <w:p>
      <w:pPr>
        <w:spacing w:after="800"/>
        <w:jc w:val="center"/>
      </w:pPr>
      <w:r>
        <w:rPr>
          <w:rFonts w:ascii="標楷體" w:cs="標楷體" w:eastAsia="標楷體" w:hAnsi="標楷體"/>
          <w:b/>
          <w:bCs/>
          <w:sz w:val="40"/>
          <w:szCs w:val="40"/>
        </w:rPr>
        <w:t xml:space="preserve">能源管理盤查小組組織章程暨職責說明</w:t>
      </w:r>
    </w:p>
    <w:tbl>
      <w:tblPr>
        <w:tblW w:type="dxa" w:w="83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0"/>
        <w:gridCol w:w="4512"/>
        <w:gridCol w:w="1600"/>
        <w:gridCol w:w="1200"/>
      </w:tblGrid>
      <w:tr>
        <w:tc>
          <w:tcPr>
            <w:tcW w:type="dxa" w:w="1000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版次</w:t>
            </w:r>
          </w:p>
        </w:tc>
        <w:tc>
          <w:tcPr>
            <w:tcW w:type="dxa" w:w="4512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修改摘要</w:t>
            </w:r>
          </w:p>
        </w:tc>
        <w:tc>
          <w:tcPr>
            <w:tcW w:type="dxa" w:w="1600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1200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備註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第一版</w:t>
            </w:r>
          </w:p>
        </w:tc>
        <w:tc>
          <w:tcPr>
            <w:tcW w:type="dxa" w:w="451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新增（共 8 頁）－依衛生福利部114年綠色醫療永續規劃暨教育訓練補助計畫制定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115年03月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第二版</w:t>
            </w:r>
          </w:p>
        </w:tc>
        <w:tc>
          <w:tcPr>
            <w:tcW w:type="dxa" w:w="451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第三版</w:t>
            </w:r>
          </w:p>
        </w:tc>
        <w:tc>
          <w:tcPr>
            <w:tcW w:type="dxa" w:w="451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500"/>
      </w:pPr>
    </w:p>
    <w:tbl>
      <w:tblPr>
        <w:tblW w:type="dxa" w:w="83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200"/>
        <w:gridCol w:w="2512"/>
      </w:tblGrid>
      <w:tr>
        <w:tc>
          <w:tcPr>
            <w:tcW w:type="dxa" w:w="1200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文件類別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□品質手冊　　□作業程序書</w:t>
            </w:r>
          </w:p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□作業指導書　■組織章程</w:t>
            </w:r>
          </w:p>
        </w:tc>
        <w:tc>
          <w:tcPr>
            <w:tcW w:type="dxa" w:w="1200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文件編號</w:t>
            </w:r>
          </w:p>
        </w:tc>
        <w:tc>
          <w:tcPr>
            <w:tcW w:type="dxa" w:w="251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1D10CTC00XX-(01)</w:t>
            </w:r>
          </w:p>
        </w:tc>
      </w:tr>
      <w:tr>
        <w:tc>
          <w:tcPr>
            <w:tcW w:type="dxa" w:w="1200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機密等級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□機密　■內部使用　□一般</w:t>
            </w:r>
          </w:p>
        </w:tc>
        <w:tc>
          <w:tcPr>
            <w:tcW w:type="dxa" w:w="1200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制定日期</w:t>
            </w:r>
          </w:p>
        </w:tc>
        <w:tc>
          <w:tcPr>
            <w:tcW w:type="dxa" w:w="251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115年03月</w:t>
            </w:r>
          </w:p>
        </w:tc>
      </w:tr>
      <w:tr>
        <w:tc>
          <w:tcPr>
            <w:tcW w:type="dxa" w:w="1200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部科類別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■委員會　□醫療類　□護理類</w:t>
            </w:r>
          </w:p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□醫技類　□行政類</w:t>
            </w:r>
          </w:p>
        </w:tc>
        <w:tc>
          <w:tcPr>
            <w:tcW w:type="dxa" w:w="1200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制定單位</w:t>
            </w:r>
          </w:p>
        </w:tc>
        <w:tc>
          <w:tcPr>
            <w:tcW w:type="dxa" w:w="251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總務部</w:t>
            </w:r>
          </w:p>
        </w:tc>
      </w:tr>
      <w:tr>
        <w:tc>
          <w:tcPr>
            <w:tcW w:type="dxa" w:w="1200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管制類別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■院內管制　　□部科室管制</w:t>
            </w:r>
          </w:p>
        </w:tc>
        <w:tc>
          <w:tcPr>
            <w:tcW w:type="dxa" w:w="1200"/>
            <w:vMerge w:val="restart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適用院區</w:t>
            </w:r>
          </w:p>
        </w:tc>
        <w:tc>
          <w:tcPr>
            <w:tcW w:type="dxa" w:w="2512"/>
            <w:vMerge w:val="restart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■沙鹿　■大甲　■長青</w:t>
            </w:r>
          </w:p>
        </w:tc>
      </w:tr>
      <w:tr>
        <w:tc>
          <w:tcPr>
            <w:tcW w:type="dxa" w:w="1200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文件年限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□一年　　　　■二年</w:t>
            </w:r>
          </w:p>
        </w:tc>
        <w:tc>
          <w:tcPr>
            <w:tcW w:type="dxa" w:w="1200"/>
            <w:vMerge w:val="continue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512"/>
            <w:vMerge w:val="continue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300"/>
      </w:pPr>
    </w:p>
    <w:tbl>
      <w:tblPr>
        <w:tblW w:type="dxa" w:w="83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800"/>
        <w:gridCol w:w="2504"/>
        <w:gridCol w:w="2504"/>
        <w:gridCol w:w="2504"/>
      </w:tblGrid>
      <w:tr>
        <w:tc>
          <w:tcPr>
            <w:tcW w:type="dxa" w:w="800"/>
            <w:vMerge w:val="restart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版　次</w:t>
            </w:r>
          </w:p>
        </w:tc>
        <w:tc>
          <w:tcPr>
            <w:tcW w:type="dxa" w:w="2504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核　准</w:t>
            </w:r>
          </w:p>
        </w:tc>
        <w:tc>
          <w:tcPr>
            <w:tcW w:type="dxa" w:w="2504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審　核</w:t>
            </w:r>
          </w:p>
        </w:tc>
        <w:tc>
          <w:tcPr>
            <w:tcW w:type="dxa" w:w="2504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制　定</w:t>
            </w:r>
          </w:p>
        </w:tc>
      </w:tr>
      <w:tr>
        <w:tc>
          <w:tcPr>
            <w:tcW w:type="dxa" w:w="800"/>
            <w:vMerge w:val="continue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5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總院長</w:t>
            </w:r>
          </w:p>
        </w:tc>
        <w:tc>
          <w:tcPr>
            <w:tcW w:type="dxa" w:w="25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ISO 50001管理代表</w:t>
            </w:r>
          </w:p>
        </w:tc>
        <w:tc>
          <w:tcPr>
            <w:tcW w:type="dxa" w:w="25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制定者（總務部）</w:t>
            </w:r>
          </w:p>
        </w:tc>
      </w:tr>
      <w:tr>
        <w:trPr>
          <w:trHeight w:val="900" w:hRule="atLeast"/>
        </w:trPr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第一版</w:t>
            </w:r>
          </w:p>
        </w:tc>
        <w:tc>
          <w:tcPr>
            <w:tcW w:type="dxa" w:w="25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5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5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第二版</w:t>
            </w:r>
          </w:p>
        </w:tc>
        <w:tc>
          <w:tcPr>
            <w:tcW w:type="dxa" w:w="25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5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5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第三版</w:t>
            </w:r>
          </w:p>
        </w:tc>
        <w:tc>
          <w:tcPr>
            <w:tcW w:type="dxa" w:w="25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5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5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ectPr>
          <w:footerReference w:type="default" r:id="rId7"/>
          <w:pgSz w:w="11906" w:h="16838" w:orient="portrait"/>
          <w:pgMar w:top="1440" w:right="1797" w:bottom="1440" w:left="1797" w:header="720" w:footer="567" w:gutter="0"/>
          <w:pgNumType/>
          <w:docGrid w:linePitch="360"/>
        </w:sectPr>
      </w:pPr>
    </w:p>
    <w:p>
      <w:pPr>
        <w:keepNext/>
        <w:spacing w:after="40" w:before="130" w:line="240" w:lineRule="auto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1.目　　的：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1.1 為明定本院能源管理盤查小組之設立依據、組織編制、職責、會議機制及運作方式，落實ISO 50001:2018能源管理系統條款5.3「組織之角色、責任及職權」關於最高管理階層指派能源管理團隊之要求，特訂定本章程。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1.2 本院未就本小組另發任命令，本章程並作為本小組成員之任命依據文件。</w:t>
      </w:r>
    </w:p>
    <w:p>
      <w:pPr>
        <w:keepNext/>
        <w:spacing w:after="40" w:before="130" w:line="240" w:lineRule="auto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2.適用範圍：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2.1 本院能源管理系統範疇及其邊界內，與能源使用、能源消耗及能源績效相關之管理活動。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2.2 本小組全體成員，及配合本小組執行能源管理事項之本院各單位。</w:t>
      </w:r>
    </w:p>
    <w:p>
      <w:pPr>
        <w:keepNext/>
        <w:spacing w:after="40" w:before="130" w:line="240" w:lineRule="auto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3.名詞定義：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3.1 本小組：指依本章程設置之「能源管理盤查小組」，即ISO 50001:2018條款5.3所稱之能源管理團隊(Energy Management Team)。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3.2 最高管理階層(Top Management)：指本院總院長。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3.3 能源基準(能源基線EnB)：作為能源績效比較基礎之量化參考；本院採114年全年資料建立。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3.4 能源績效指標(EnPI)：本院用以量測及監督能源績效之量化值或量測方式。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3.5 重大能源使用(Significant Energy Use, SEU)：占本院能源消耗顯著比率，或具能源績效改進顯著潛力之能源使用。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3.6 管理階層審查：依ISO 50001:2018條款9.3，由最高管理階層於所規劃期間內對能源管理系統所為之審查。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3.7 人事命令：指經本院總院長核定並於本院官方網站公告之職務異動命令。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3.8 CNS 50001:2020為我國等同採用ISO 50001:2018之國家標準，二者技術內容一致。本章程專用語以衛生福利部補助計畫用語為主，與CNS官方譯名不同者，於首次出現時以括號併記。</w:t>
      </w:r>
    </w:p>
    <w:p>
      <w:pPr>
        <w:keepNext/>
        <w:spacing w:after="40" w:before="130" w:line="240" w:lineRule="auto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4.相關文件：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4.1 ISO 50001:2018 能源管理系統－附使用指引之要求事項。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4.2 CNS 50001:2020 能源管理系統－附使用指引之要求事項。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4.3 0220ATP0001 文件制定與管制作業辦法。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4.4 衛生福利部114年綠色醫療永續規劃暨教育訓練補助計畫。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4.5 本院115年3月27日能源管理系統導入啟始會議紀錄。</w:t>
      </w:r>
    </w:p>
    <w:p>
      <w:pPr>
        <w:keepNext/>
        <w:spacing w:after="40" w:before="130" w:line="240" w:lineRule="auto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5.權　　責：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5.1 總召集人（總院長）－最高管理階層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5.1.1 核定本院能源政策、能源目標及能源標的，並確保與本院策略方向配合一致。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5.1.2 核定本小組之設置、編制及本章程，並確保相關角色之責任與職權已在本院內指派及溝通。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5.1.3 確保能源管理系統之建立、實施、維持及持續改進所需資源之可取得性。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5.1.4 主持管理階層審查會議（條款9.3），並就本院能源管理系統之整體績效負最終當責(Accountability)。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5.2 永續核心（執行長）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5.2.1 統籌本院永續(ESG)策略與能源管理系統之整合，確保能源績效目標與本院永續發展方向一致。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5.2.2 協調跨部門資源配置，並負責與外部利害相關者（含補助機關、驗證機構及供應鏈）之議合。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5.2.3 督導本院能源管理相關資訊之對外揭露。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5.3 ISO 50001管理代表（吳副院長）－受最高管理階層指派行使條款5.3之責任與職權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5.3.1 確保本院能源管理系統已建立、實施、維持及持續改進〔條款5.3(a)〕。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5.3.2 確保本院能源管理系統符合ISO 50001:2018之要求事項〔條款5.3(b)〕。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5.3.3 督導行動計畫之實施，以持續改進能源績效〔條款5.3(c)〕。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5.3.4 於管理階層審查會議及本小組定期會議，向最高管理階層報告能源管理系統績效與能源績效改進情形〔條款5.3(d)〕。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5.3.5 建立確保能源管理系統之運作與管制為有效所需之準則與方法〔條款5.3(e)〕。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5.3.6 召集並主持本小組會議；核定附表一成員名冊之異動。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5.4 執行秘書（總務部ISO 50001承辦人員）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5.4.1 辦理本小組會議之召集通知、議程編擬、紀錄製作及決議事項之追蹤管制。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5.4.2 維護能源管理系統之文件化資訊，辦理文件之制定、修訂、發行、分發及保存，並依0220ATP0001辦理。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5.4.3 彙整能源基準(能源基線EnB)及能源績效指標(EnPI)之月度統計，提送本小組會議確認。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5.4.4 彙整附表一成員名冊之異動，陳ISO 50001管理代表核定，並填載附表二異動紀錄。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5.5 組員－共同職責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5.5.1 提供所屬單位能源使用、能源消耗之原始數據及佐證資料，並確保其正確性與完整性。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5.5.2 參與能源審查，協助鑑別所屬單位之重大能源使用(SEU)及能源績效改進機會。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5.5.3 於所屬單位推動並落實能源政策、能源目標、能源標的及行動計畫。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5.5.4 出席本小組會議並執行決議事項，於期限內回報執行結果。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5.5.5 參與本院能源管理教育訓練，並於所屬單位辦理能源意識宣導。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5.5.6 配合內部稽核及第三方驗證之查證作業。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5.6 組員－分工職責如下表：</w:t>
      </w:r>
    </w:p>
    <w:p>
      <w:pPr>
        <w:spacing w:after="60" w:before="60"/>
        <w:ind w:left="720"/>
      </w:pPr>
    </w:p>
    <w:tbl>
      <w:tblPr>
        <w:tblW w:type="dxa" w:w="102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2100"/>
        <w:gridCol w:w="8106"/>
      </w:tblGrid>
      <w:tr>
        <w:trPr>
          <w:tblHeader/>
        </w:trPr>
        <w:tc>
          <w:tcPr>
            <w:tcW w:type="dxa" w:w="2100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單　位</w:t>
            </w:r>
          </w:p>
        </w:tc>
        <w:tc>
          <w:tcPr>
            <w:tcW w:type="dxa" w:w="8106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本計畫分工職責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護理部</w:t>
            </w:r>
          </w:p>
        </w:tc>
        <w:tc>
          <w:tcPr>
            <w:tcW w:type="dxa" w:w="81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臨床照護區域用電行為管理；病房空調、照明及醫療輔助設備使用規範之落實與宣導。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執行長室秘書處</w:t>
            </w:r>
          </w:p>
        </w:tc>
        <w:tc>
          <w:tcPr>
            <w:tcW w:type="dxa" w:w="81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本計畫之行政聯繫與進度控管；對補助機關、駐點顧問及驗證機構之聯繫窗口；會議資料彙編。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資訊部</w:t>
            </w:r>
          </w:p>
        </w:tc>
        <w:tc>
          <w:tcPr>
            <w:tcW w:type="dxa" w:w="81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機房與資通訊設備能耗管理；能源數據E化蒐集、智能AI監控系統之建置與維運；數據平台權限管理。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藥劑部</w:t>
            </w:r>
          </w:p>
        </w:tc>
        <w:tc>
          <w:tcPr>
            <w:tcW w:type="dxa" w:w="81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藥品冷鏈設備（冷藏櫃、冷凍櫃、恆溫櫃）之能耗監控與溫控效率管理；調劑作業區域用電管理。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醫事部</w:t>
            </w:r>
          </w:p>
        </w:tc>
        <w:tc>
          <w:tcPr>
            <w:tcW w:type="dxa" w:w="81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門診及醫事作業區域用電管理；病歷與檔案儲存空間之空調與除濕能耗管理。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採購處（綠色採購）</w:t>
            </w:r>
          </w:p>
        </w:tc>
        <w:tc>
          <w:tcPr>
            <w:tcW w:type="dxa" w:w="81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會影響能源績效之產品、設備及服務採購（條款8.3）；將能源績效規格與能源效率標示納入採購評選及驗收要件；供應商能源相關資訊之取得。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總務部</w:t>
            </w:r>
          </w:p>
        </w:tc>
        <w:tc>
          <w:tcPr>
            <w:tcW w:type="dxa" w:w="81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本小組業務主辦單位；統籌能源審查作業；建立與維護能源基準(能源基線EnB)及能源績效指標(EnPI)；彙整全院能源數據與績效報告。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保管課</w:t>
            </w:r>
          </w:p>
        </w:tc>
        <w:tc>
          <w:tcPr>
            <w:tcW w:type="dxa" w:w="81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財產與耗材管理；配合高耗能設備汰換之財產增置、報廢及異動作業；節能設備之財產列管。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職安室</w:t>
            </w:r>
          </w:p>
        </w:tc>
        <w:tc>
          <w:tcPr>
            <w:tcW w:type="dxa" w:w="81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能源管理與職業安全衛生之介面整合；能源相關法規要求事項及其他要求事項之鑑別與守規性評估。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檢驗科</w:t>
            </w:r>
          </w:p>
        </w:tc>
        <w:tc>
          <w:tcPr>
            <w:tcW w:type="dxa" w:w="81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檢驗儀器、冰箱、冷凍櫃及生物安全櫃等設備之能耗監控與運轉時段管理。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醫工課</w:t>
            </w:r>
          </w:p>
        </w:tc>
        <w:tc>
          <w:tcPr>
            <w:tcW w:type="dxa" w:w="81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醫療儀器設備之能源效率評估與汰換規劃；新購及改裝設備於設計階段之能源績效考量（條款8.2）。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放射科</w:t>
            </w:r>
          </w:p>
        </w:tc>
        <w:tc>
          <w:tcPr>
            <w:tcW w:type="dxa" w:w="81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影像醫學設備（CT、MRI、X光等）待機與運轉能耗管理；機房空調與冷卻系統之使用配合。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工務課</w:t>
            </w:r>
          </w:p>
        </w:tc>
        <w:tc>
          <w:tcPr>
            <w:tcW w:type="dxa" w:w="81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空調、電力、鍋爐、給排水及其他動力系統之運轉管制；能源之量測、監督與分析；節能改善方案之執行與驗證。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營養室</w:t>
            </w:r>
          </w:p>
        </w:tc>
        <w:tc>
          <w:tcPr>
            <w:tcW w:type="dxa" w:w="81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廚房蒸氣、瓦斯、抽排風及冷凍冷藏設備之能耗管理；供膳作業時段之能源使用最佳化。</w:t>
            </w:r>
          </w:p>
        </w:tc>
      </w:tr>
    </w:tbl>
    <w:p>
      <w:pPr>
        <w:keepNext/>
        <w:spacing w:after="40" w:before="130" w:line="240" w:lineRule="auto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6.內　　容：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6.1 設立依據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6.1.1 ISO 50001:2018 能源管理系統－附使用指引之要求事項條款5.3「組織之角色、責任及職權」：最高管理階層應指派能源管理團隊之責任與職權。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6.1.2 衛生福利部114年綠色醫療永續規劃暨教育訓練補助計畫。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6.1.3 本院115年3月27日能源管理系統導入啟始會議決議。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6.2 成立與追認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6.2.1 本院於115年3月27日召開能源管理系統導入啟始會議，由主席宣布啟動本院能源精實管理永續元年，並於會中宣告成立本小組，完成小組編制與成員之宣達。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6.2.2 本章程就前項會議宣告成立之事實予以文件化並追認，本小組成立日期溯自115年3月27日起算。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6.2.3 本小組與本院既有院級委員會之設立目的、組織編制、職掌及功能均不相同，彼此不相隸屬，亦不相互援引為設立依據。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6.3 組織架構與成員編制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6.3.1 本小組置總召集人一人，由總院長兼任。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6.3.2 本小組置永續核心一人，由執行長兼任。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6.3.3 本小組置ISO 50001管理代表一人，由副院長兼任。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6.3.4 本小組置執行秘書一人，由總務部指派承辦ISO 50001業務之人員（以下簡稱ISO 50001承辦人員）兼任，辦理本小組幕僚作業。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6.3.5 本小組置組員若干人，由下列單位之主管或其指派之代表兼任：護理部、執行長室秘書處、資訊部、藥劑部、醫事部、採購處（綠色採購）、總務部、保管課、職安室、檢驗科、醫工課、放射科、工務課、營養室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6.3.6 本小組成員之服務單位、職稱及姓名，詳如附表一；組織架構詳如第7章組織圖。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6.3.7 本小組成員均以本職兼任，為任務編組職務，並為無給職。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6.4 會議機制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6.4.1 本小組定期會議每季至少召開一次；必要時，得由ISO 50001管理代表召開臨時會議。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6.4.2 會議由ISO 50001管理代表召集並擔任主席；必要時得由總召集人主持。主席因故不能出席時，由其指定組員一人代理主持。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6.4.3 會議應有全體成員二分之一以上出席始得開會；決議事項應經出席成員二分之一以上同意行之，可否同數時取決於主席。ISO 50001管理代表或其代理人應出席。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6.4.4 本小組決議事項對本院各單位具管理拘束力，各單位應依決議所定期限辦理，並回覆執行結果。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6.4.5 得視議題需要，邀請本院相關單位人員或外部顧問列席提供意見；列席人員無表決權。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6.4.6 會議紀錄應載明開會日期、出（列）席人員、審議事項、決議內容、負責單位及完成期限，經主席核閱後發布。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6.4.7 115年度為衛生福利部補助計畫執行期間，本小組得配合計畫期程增加會議召開頻次，並就能源基準(能源基線EnB)及績效比對期之月度數據逐月審視確認。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6.5 與管理階層審查（條款9.3）之銜接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6.5.1 管理階層審查每年至少辦理一次，由總召集人主持，審查本院能源管理系統之持續合適性、充分性、有效性及與本院策略方向之一致性。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6.5.2 本小組為管理階層審查之投入(Input)資料準備單位，應彙整下列事項提送審查：</w:t>
      </w:r>
    </w:p>
    <w:p>
      <w:pPr>
        <w:keepNext w:val="false"/>
        <w:spacing w:after="0" w:before="0" w:line="240" w:lineRule="auto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6.5.2.1 先前管理階層審查各項措施之執行狀況。</w:t>
      </w:r>
    </w:p>
    <w:p>
      <w:pPr>
        <w:keepNext w:val="false"/>
        <w:spacing w:after="0" w:before="0" w:line="240" w:lineRule="auto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6.5.2.2 與能源管理系統相關之外部與內部議題，及其相關連風險與機會之變更。</w:t>
      </w:r>
    </w:p>
    <w:p>
      <w:pPr>
        <w:keepNext w:val="false"/>
        <w:spacing w:after="0" w:before="0" w:line="240" w:lineRule="auto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6.5.2.3 能源管理系統績效資訊之趨勢，包括不符合事項與矯正措施、監督與量測結果、稽核結果，以及法規要求事項與其他要求事項守規性評估之結果。</w:t>
      </w:r>
    </w:p>
    <w:p>
      <w:pPr>
        <w:keepNext w:val="false"/>
        <w:spacing w:after="0" w:before="0" w:line="240" w:lineRule="auto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6.5.2.4 持續改進之機會，包括人員適任性之持續改進機會。</w:t>
      </w:r>
    </w:p>
    <w:p>
      <w:pPr>
        <w:keepNext w:val="false"/>
        <w:spacing w:after="0" w:before="0" w:line="240" w:lineRule="auto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6.5.2.5 能源政策之適切性。</w:t>
      </w:r>
    </w:p>
    <w:p>
      <w:pPr>
        <w:keepNext w:val="false"/>
        <w:spacing w:after="0" w:before="0" w:line="240" w:lineRule="auto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6.5.2.6 能源績效投入：能源目標與能源標的之達成程度、依能源績效指標(EnPI)之監督與量測結果所呈現之能源績效及其改進情形、行動計畫之現況。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6.5.3 管理階層審查之產出，包括持續改進之機會、能源管理系統變更需求、資源需求及能源績效改進之決議，交由本小組轉化為行動計畫，並納入定期會議追蹤管制。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6.5.4 本小組定期會議之決議，得作為管理階層審查之前置審議程序；經本小組審議之能源績效資料，應併同提報管理階層審查。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6.6 常設化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6.6.1 衛生福利部114年綠色醫療永續規劃暨教育訓練補助計畫期滿後，本小組由本章程所定編制延續組成本院「能源管理常設小組」，不因計畫結案而解散。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6.6.2 常設化後應維持定期會議機制，每季至少召開一次，並依6.4及6.5規定運作。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6.6.3 本小組應滾動檢討能源績效指標(EnPI)及能源基準(能源基線EnB)，確保本院能源管理體系之持續精進。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6.6.4 年度能源管理審查定期會議及第三方驗證協助事宜，由台灣管理系統驗證有限公司無償協辦。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6.6.5 本節所定常設化事項，為本院對主管機關之承諾事項；非經管理階層審查決議並報請總院長核定，不得變更或廢止。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6.7 任命與生效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6.7.1 本章程經ISO 50001管理代表審核、總院長核准發布後施行。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6.7.2 附表一所列人員，自本章程生效日起就任其所列本小組職務，不另行文任命。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6.7.3 本章程即為本小組成員之任命依據文件，各成員應依第5章所定職責，執行本小組交付事項。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6.8 成員異動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6.8.1 本小組成員依職務編制產生，不因個人異動而變更編制。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6.8.2 成員因人事命令調動或其他事由異動時，由本院ISO 50001承辦人員彙整更新附表一，經ISO 50001管理代表核定後生效；本章程本文不予修訂，版次不予變更。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6.8.3 ISO 50001管理代表異動時，依本院人事作業程序，由總院長核定並於本院官方網站公告後生效。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6.8.4 前項所稱人事命令，係指經本院總院長核定並於本院官方網站公告之職務異動命令。本小組成員之異動既以該命令為據，其人選更替已具最高管理階層核定之效力，無須就本小組成員名冊另行陳核，以符分層負責、充分授權之管理原則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6.8.5 附表一之每次異動，均應填載於附表二成員異動紀錄，並保存為文件化資訊，以供內部稽核及第三方驗證追溯。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6.9 修訂與廢止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6.9.1 本章程之制定、修訂、廢止、版次管制及保存年限，依0220ATP0001文件制定與管制作業辦法辦理。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6.9.2 本章程有下列情形之一者，應辦理修訂：</w:t>
      </w:r>
    </w:p>
    <w:p>
      <w:pPr>
        <w:keepNext w:val="false"/>
        <w:spacing w:after="0" w:before="0" w:line="240" w:lineRule="auto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6.9.2.1 ISO 50001標準改版，致本章程引用之條款失所依據。</w:t>
      </w:r>
    </w:p>
    <w:p>
      <w:pPr>
        <w:keepNext w:val="false"/>
        <w:spacing w:after="0" w:before="0" w:line="240" w:lineRule="auto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6.9.2.2 本小組之組織架構、職責分工或會議機制變更。</w:t>
      </w:r>
    </w:p>
    <w:p>
      <w:pPr>
        <w:keepNext w:val="false"/>
        <w:spacing w:after="0" w:before="0" w:line="240" w:lineRule="auto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6.9.2.3 管理階層審查決議應予修訂。</w:t>
      </w:r>
    </w:p>
    <w:p>
      <w:pPr>
        <w:keepNext w:val="false"/>
        <w:spacing w:after="0" w:before="0" w:line="240" w:lineRule="auto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6.9.2.4 法規要求事項或其他要求事項變更，致本章程與之牴觸。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6.9.3 附表一成員名冊之異動，依6.8辦理，不屬本節所稱之修訂。</w:t>
      </w:r>
    </w:p>
    <w:p>
      <w:pPr>
        <w:keepNext w:val="false"/>
        <w:spacing w:after="0" w:before="0" w:line="240" w:lineRule="auto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6.9.4 本章程之廢止，應經管理階層審查決議，並報請總院長核准。</w:t>
      </w:r>
    </w:p>
    <w:p>
      <w:pPr>
        <w:keepNext/>
        <w:spacing w:after="40" w:before="130" w:line="240" w:lineRule="auto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7.組  織  圖：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7.1 能源管理盤查小組組織圖（四階層）</w:t>
      </w:r>
    </w:p>
    <w:p>
      <w:pPr>
        <w:spacing w:after="120" w:before="120"/>
        <w:jc w:val="center"/>
      </w:pPr>
      <w:r>
        <w:drawing>
          <wp:inline distT="0" distB="0" distL="0" distR="0">
            <wp:extent cx="5381625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7.2 圖中虛線表幕僚聯繫關係，實線表指揮與報告關係。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7.3 第四層各單位以職務編制列示，成員姓名詳如附表一。</w:t>
      </w:r>
    </w:p>
    <w:p>
      <w:pPr>
        <w:keepNext/>
        <w:spacing w:after="40" w:before="130" w:line="240" w:lineRule="auto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8.稽核機制：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8.1 權責人員：內部稽核員（依ISO 50001:2018條款9.2遴選，並確保客觀性與公正性）。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8.2 稽核時機：每年至少一次，並於當年度管理階層審查前完成。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8.3 稽核工具：內部稽核方案、內部稽核查檢表、本小組會議紀錄、決議事項追蹤表、附表一及附表二。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8.4 稽核重點：本小組是否依本章程所定頻次召開會議、決議事項是否確實追蹤結案、成員異動是否依6.8完成更新與核定。</w:t>
      </w:r>
    </w:p>
    <w:p>
      <w:pPr>
        <w:keepNext/>
        <w:spacing w:after="40" w:before="130" w:line="240" w:lineRule="auto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9.記　　錄：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9.1 能源管理盤查小組會議紀錄及簽到表。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9.2 決議事項追蹤表。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9.3 附表一 能源管理盤查小組成員名冊。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9.4 附表二 能源管理盤查小組成員異動紀錄。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9.5 前列記錄依ISO 50001:2018條款7.5保存為文件化資訊，保存年限至少三年，並依0220ATP0001辦理管制。</w:t>
      </w:r>
    </w:p>
    <w:p>
      <w:pPr>
        <w:keepNext/>
        <w:spacing w:after="40" w:before="130" w:line="240" w:lineRule="auto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10.附　　件：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10.1 附表一　能源管理盤查小組成員名冊（115年度）</w:t>
      </w:r>
    </w:p>
    <w:p>
      <w:pPr>
        <w:keepNext w:val="false"/>
        <w:spacing w:after="0" w:before="60" w:line="240" w:lineRule="auto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10.2 附表二　能源管理盤查小組成員異動紀錄</w:t>
      </w:r>
    </w:p>
    <w:p>
      <w:pPr>
        <w:pageBreakBefore/>
        <w:spacing w:after="60"/>
        <w:jc w:val="center"/>
      </w:pPr>
      <w:r>
        <w:rPr>
          <w:rFonts w:ascii="標楷體" w:cs="標楷體" w:eastAsia="標楷體" w:hAnsi="標楷體"/>
          <w:b/>
          <w:bCs/>
          <w:sz w:val="30"/>
          <w:szCs w:val="30"/>
        </w:rPr>
        <w:t xml:space="preserve">附表一　能源管理盤查小組成員名冊</w:t>
      </w:r>
    </w:p>
    <w:p>
      <w:pPr>
        <w:spacing w:after="60"/>
        <w:jc w:val="center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（115年度）</w:t>
      </w:r>
    </w:p>
    <w:p>
      <w:pPr>
        <w:spacing w:after="120"/>
        <w:jc w:val="right"/>
      </w:pPr>
      <w:r>
        <w:rPr>
          <w:rFonts w:ascii="標楷體" w:cs="標楷體" w:eastAsia="標楷體" w:hAnsi="標楷體"/>
          <w:b w:val="false"/>
          <w:bCs w:val="false"/>
          <w:sz w:val="18"/>
          <w:szCs w:val="18"/>
        </w:rPr>
        <w:t xml:space="preserve">表單編號：1D10CTC00XX-(01)-F01-01-1（待文管單位核發）</w:t>
      </w:r>
    </w:p>
    <w:tbl>
      <w:tblPr>
        <w:tblW w:type="dxa" w:w="102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000"/>
        <w:gridCol w:w="1900"/>
        <w:gridCol w:w="1300"/>
        <w:gridCol w:w="2506"/>
      </w:tblGrid>
      <w:tr>
        <w:trPr>
          <w:tblHeader/>
        </w:trPr>
        <w:tc>
          <w:tcPr>
            <w:tcW w:type="dxa" w:w="700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編號</w:t>
            </w:r>
          </w:p>
        </w:tc>
        <w:tc>
          <w:tcPr>
            <w:tcW w:type="dxa" w:w="1800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本小組職務</w:t>
            </w:r>
          </w:p>
        </w:tc>
        <w:tc>
          <w:tcPr>
            <w:tcW w:type="dxa" w:w="2000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服務單位</w:t>
            </w:r>
          </w:p>
        </w:tc>
        <w:tc>
          <w:tcPr>
            <w:tcW w:type="dxa" w:w="1900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職　稱</w:t>
            </w:r>
          </w:p>
        </w:tc>
        <w:tc>
          <w:tcPr>
            <w:tcW w:type="dxa" w:w="1200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姓　名</w:t>
            </w:r>
          </w:p>
        </w:tc>
        <w:tc>
          <w:tcPr>
            <w:tcW w:type="dxa" w:w="2506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備　註</w:t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總召集人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院長室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總院長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王乃弘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永續核心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執行長室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執行長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王詩婷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ISO 50001管理代表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院長室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副院長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吳瑞堂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受最高管理階層指派</w:t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執行秘書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總務部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ISO 50001承辦人員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（依指派）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由總務部指派</w:t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組員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護理部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主任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于素珍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組員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執行長室秘書處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副管理師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林秉禾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本計畫聯絡窗口</w:t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組員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資訊部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部長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林政杰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組員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藥劑部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部長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謝永宏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組員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醫事部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主任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陳燕雯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組員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採購處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採購主管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曾玉萍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綠色採購</w:t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組員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總務部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部長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張仁和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業務主辦單位</w:t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組員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保管課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課長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廖烈宗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組員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職安室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副主任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陳依伶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組員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檢驗科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主任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李淑華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組員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醫工課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課長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鍾家彥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組員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放射科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副主任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雷粟蓉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組員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工務課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課長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李勝宏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組員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營養室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主任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林淑雯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line="240"/>
      </w:pPr>
      <w:r>
        <w:rPr>
          <w:rFonts w:ascii="標楷體" w:cs="標楷體" w:eastAsia="標楷體" w:hAnsi="標楷體"/>
          <w:b w:val="false"/>
          <w:bCs w:val="false"/>
          <w:sz w:val="22"/>
          <w:szCs w:val="22"/>
        </w:rPr>
        <w:t xml:space="preserve">註1：本名冊成員合計18人（含執行秘書1人）。</w:t>
      </w:r>
    </w:p>
    <w:p>
      <w:pPr>
        <w:spacing w:line="240"/>
      </w:pPr>
      <w:r>
        <w:rPr>
          <w:rFonts w:ascii="標楷體" w:cs="標楷體" w:eastAsia="標楷體" w:hAnsi="標楷體"/>
          <w:b w:val="false"/>
          <w:bCs w:val="false"/>
          <w:sz w:val="22"/>
          <w:szCs w:val="22"/>
        </w:rPr>
        <w:t xml:space="preserve">註2：本名冊之異動依本章程6.8辦理，經ISO 50001管理代表核定後生效，本章程本文不予修訂、版次不予變更。</w:t>
      </w:r>
    </w:p>
    <w:p>
      <w:pPr>
        <w:pageBreakBefore/>
        <w:spacing w:after="60"/>
        <w:jc w:val="center"/>
      </w:pPr>
      <w:r>
        <w:rPr>
          <w:rFonts w:ascii="標楷體" w:cs="標楷體" w:eastAsia="標楷體" w:hAnsi="標楷體"/>
          <w:b/>
          <w:bCs/>
          <w:sz w:val="30"/>
          <w:szCs w:val="30"/>
        </w:rPr>
        <w:t xml:space="preserve">附表二　能源管理盤查小組成員異動紀錄</w:t>
      </w:r>
    </w:p>
    <w:p>
      <w:pPr>
        <w:spacing w:after="140"/>
        <w:jc w:val="right"/>
      </w:pPr>
      <w:r>
        <w:rPr>
          <w:rFonts w:ascii="標楷體" w:cs="標楷體" w:eastAsia="標楷體" w:hAnsi="標楷體"/>
          <w:b w:val="false"/>
          <w:bCs w:val="false"/>
          <w:sz w:val="18"/>
          <w:szCs w:val="18"/>
        </w:rPr>
        <w:t xml:space="preserve">表單編號：1D10CTC00XX-(01)-F02-01-1（待文管單位核發）</w:t>
      </w:r>
    </w:p>
    <w:tbl>
      <w:tblPr>
        <w:tblW w:type="dxa" w:w="102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2400"/>
        <w:gridCol w:w="5406"/>
        <w:gridCol w:w="2400"/>
      </w:tblGrid>
      <w:tr>
        <w:trPr>
          <w:tblHeader/>
        </w:trPr>
        <w:tc>
          <w:tcPr>
            <w:tcW w:type="dxa" w:w="2400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異動日期</w:t>
            </w:r>
          </w:p>
        </w:tc>
        <w:tc>
          <w:tcPr>
            <w:tcW w:type="dxa" w:w="5406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異動內容</w:t>
            </w:r>
          </w:p>
        </w:tc>
        <w:tc>
          <w:tcPr>
            <w:tcW w:type="dxa" w:w="2400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製表人</w:t>
            </w:r>
          </w:p>
        </w:tc>
      </w:tr>
      <w:tr>
        <w:trPr>
          <w:trHeight w:val="520" w:hRule="atLeast"/>
        </w:trP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4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4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4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4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4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4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4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4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4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4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4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4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line="240"/>
      </w:pPr>
      <w:r>
        <w:rPr>
          <w:rFonts w:ascii="標楷體" w:cs="標楷體" w:eastAsia="標楷體" w:hAnsi="標楷體"/>
          <w:b/>
          <w:bCs/>
          <w:sz w:val="22"/>
          <w:szCs w:val="22"/>
        </w:rPr>
        <w:t xml:space="preserve">填表說明：</w:t>
      </w:r>
    </w:p>
    <w:p>
      <w:pPr>
        <w:spacing w:line="240"/>
        <w:ind w:left="480"/>
      </w:pPr>
      <w:r>
        <w:rPr>
          <w:rFonts w:ascii="標楷體" w:cs="標楷體" w:eastAsia="標楷體" w:hAnsi="標楷體"/>
          <w:b w:val="false"/>
          <w:bCs w:val="false"/>
          <w:sz w:val="22"/>
          <w:szCs w:val="22"/>
        </w:rPr>
        <w:t xml:space="preserve">1. 異動內容應載明異動前後之服務單位、職稱及姓名，並註明所據人事命令之公告日期。</w:t>
      </w:r>
    </w:p>
    <w:p>
      <w:pPr>
        <w:spacing w:line="240"/>
        <w:ind w:left="480"/>
      </w:pPr>
      <w:r>
        <w:rPr>
          <w:rFonts w:ascii="標楷體" w:cs="標楷體" w:eastAsia="標楷體" w:hAnsi="標楷體"/>
          <w:b w:val="false"/>
          <w:bCs w:val="false"/>
          <w:sz w:val="22"/>
          <w:szCs w:val="22"/>
        </w:rPr>
        <w:t xml:space="preserve">2. 本表經ISO 50001管理代表核定後，併同附表一存查，並列為內部稽核及第三方驗證之查證資料。</w:t>
      </w:r>
    </w:p>
    <w:sectPr>
      <w:headerReference w:type="default" r:id="rId8"/>
      <w:footerReference w:type="default" r:id="rId9"/>
      <w:pgSz w:w="11906" w:h="16838" w:orient="portrait"/>
      <w:pgMar w:top="850" w:right="850" w:bottom="850" w:left="850" w:header="400" w:footer="4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8312"/>
      </w:tabs>
    </w:pPr>
    <w:r>
      <w:rPr>
        <w:rFonts w:ascii="標楷體" w:cs="標楷體" w:eastAsia="標楷體" w:hAnsi="標楷體"/>
        <w:b w:val="false"/>
        <w:bCs w:val="false"/>
        <w:sz w:val="18"/>
        <w:szCs w:val="18"/>
      </w:rPr>
      <w:t xml:space="preserve">光田綜合醫院文件，非經許可不得以任何方式翻製或複印</w:t>
    </w:r>
    <w:r>
      <w:tab/>
    </w:r>
    <w:r>
      <w:rPr>
        <w:rFonts w:ascii="標楷體" w:cs="標楷體" w:eastAsia="標楷體" w:hAnsi="標楷體"/>
        <w:b w:val="false"/>
        <w:bCs w:val="false"/>
        <w:sz w:val="20"/>
        <w:szCs w:val="20"/>
      </w:rPr>
      <w:t xml:space="preserve">文件發行章：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06"/>
      <w:tblBorders>
        <w:top w:val="single" w:color="000000" w:sz="4"/>
        <w:left w:val="single" w:color="000000" w:sz="4"/>
        <w:bottom w:val="single" w:color="000000" w:sz="4"/>
        <w:right w:val="single" w:color="000000" w:sz="4"/>
        <w:insideH w:val="single" w:color="auto" w:sz="4"/>
        <w:insideV w:val="single" w:color="auto" w:sz="4"/>
      </w:tblBorders>
    </w:tblPr>
    <w:tblGrid>
      <w:gridCol w:w="1300"/>
      <w:gridCol w:w="4506"/>
      <w:gridCol w:w="1400"/>
      <w:gridCol w:w="3000"/>
    </w:tblGrid>
    <w:tr>
      <w:tc>
        <w:tcPr>
          <w:tcW w:type="dxa" w:w="1300"/>
          <w:shd w:fill="E8E8E8" w:color="auto" w:val="clear"/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line="240" w:lineRule="auto"/>
            <w:jc w:val="center"/>
          </w:pPr>
          <w:r>
            <w:rPr>
              <w:rFonts w:ascii="標楷體" w:cs="標楷體" w:eastAsia="標楷體" w:hAnsi="標楷體"/>
              <w:b/>
              <w:bCs/>
              <w:sz w:val="20"/>
              <w:szCs w:val="20"/>
            </w:rPr>
            <w:t xml:space="preserve">文件名稱</w:t>
          </w:r>
        </w:p>
      </w:tc>
      <w:tc>
        <w:tcPr>
          <w:tcW w:type="dxa" w:w="4506"/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line="240" w:lineRule="auto"/>
            <w:jc w:val="center"/>
          </w:pPr>
          <w:r>
            <w:rPr>
              <w:rFonts w:ascii="標楷體" w:cs="標楷體" w:eastAsia="標楷體" w:hAnsi="標楷體"/>
              <w:b/>
              <w:bCs/>
              <w:sz w:val="20"/>
              <w:szCs w:val="20"/>
            </w:rPr>
            <w:t xml:space="preserve">能源管理盤查小組組織章程暨職責說明</w:t>
          </w:r>
        </w:p>
      </w:tc>
      <w:tc>
        <w:tcPr>
          <w:tcW w:type="dxa" w:w="1400"/>
          <w:shd w:fill="E8E8E8" w:color="auto" w:val="clear"/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line="240" w:lineRule="auto"/>
            <w:jc w:val="center"/>
          </w:pPr>
          <w:r>
            <w:rPr>
              <w:rFonts w:ascii="標楷體" w:cs="標楷體" w:eastAsia="標楷體" w:hAnsi="標楷體"/>
              <w:b/>
              <w:bCs/>
              <w:sz w:val="20"/>
              <w:szCs w:val="20"/>
            </w:rPr>
            <w:t xml:space="preserve">文件編號</w:t>
          </w:r>
        </w:p>
      </w:tc>
      <w:tc>
        <w:tcPr>
          <w:tcW w:type="dxa" w:w="3000"/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line="240" w:lineRule="auto"/>
            <w:jc w:val="center"/>
          </w:pPr>
          <w:r>
            <w:rPr>
              <w:rFonts w:ascii="標楷體" w:cs="標楷體" w:eastAsia="標楷體" w:hAnsi="標楷體"/>
              <w:b w:val="false"/>
              <w:bCs w:val="false"/>
              <w:sz w:val="20"/>
              <w:szCs w:val="20"/>
            </w:rPr>
            <w:t xml:space="preserve">1D10CTC00XX-(01)</w:t>
          </w:r>
        </w:p>
      </w:tc>
    </w:tr>
    <w:tr>
      <w:tc>
        <w:tcPr>
          <w:tcW w:type="dxa" w:w="1300"/>
          <w:vMerge w:val="restart"/>
          <w:shd w:fill="E8E8E8" w:color="auto" w:val="clear"/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line="240" w:lineRule="auto"/>
            <w:jc w:val="center"/>
          </w:pPr>
          <w:r>
            <w:rPr>
              <w:rFonts w:ascii="標楷體" w:cs="標楷體" w:eastAsia="標楷體" w:hAnsi="標楷體"/>
              <w:b/>
              <w:bCs/>
              <w:sz w:val="20"/>
              <w:szCs w:val="20"/>
            </w:rPr>
            <w:t xml:space="preserve">文件類別</w:t>
          </w:r>
        </w:p>
      </w:tc>
      <w:tc>
        <w:tcPr>
          <w:tcW w:type="dxa" w:w="4506"/>
          <w:vMerge w:val="restart"/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line="240" w:lineRule="auto"/>
            <w:jc w:val="center"/>
          </w:pPr>
          <w:r>
            <w:rPr>
              <w:rFonts w:ascii="標楷體" w:cs="標楷體" w:eastAsia="標楷體" w:hAnsi="標楷體"/>
              <w:b w:val="false"/>
              <w:bCs w:val="false"/>
              <w:sz w:val="20"/>
              <w:szCs w:val="20"/>
            </w:rPr>
            <w:t xml:space="preserve">組　織　章　程</w:t>
          </w:r>
        </w:p>
      </w:tc>
      <w:tc>
        <w:tcPr>
          <w:tcW w:type="dxa" w:w="1400"/>
          <w:shd w:fill="E8E8E8" w:color="auto" w:val="clear"/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line="240" w:lineRule="auto"/>
            <w:jc w:val="center"/>
          </w:pPr>
          <w:r>
            <w:rPr>
              <w:rFonts w:ascii="標楷體" w:cs="標楷體" w:eastAsia="標楷體" w:hAnsi="標楷體"/>
              <w:b/>
              <w:bCs/>
              <w:sz w:val="20"/>
              <w:szCs w:val="20"/>
            </w:rPr>
            <w:t xml:space="preserve">頁　　次</w:t>
          </w:r>
        </w:p>
      </w:tc>
      <w:tc>
        <w:tcPr>
          <w:tcW w:type="dxa" w:w="3000"/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jc w:val="center"/>
          </w:pPr>
          <w:r>
            <w:rPr>
              <w:rFonts w:ascii="標楷體" w:cs="標楷體" w:eastAsia="標楷體" w:hAnsi="標楷體"/>
              <w:sz w:val="20"/>
              <w:szCs w:val="20"/>
            </w:rPr>
            <w:t xml:space="preserve">第 </w:t>
            <w:fldChar w:fldCharType="begin"/>
            <w:instrText xml:space="preserve">PAGE</w:instrText>
            <w:fldChar w:fldCharType="separate"/>
            <w:fldChar w:fldCharType="end"/>
            <w:t xml:space="preserve"> 頁、共 8 頁</w:t>
          </w:r>
        </w:p>
      </w:tc>
    </w:tr>
    <w:tr>
      <w:tc>
        <w:tcPr>
          <w:tcW w:type="dxa" w:w="1300"/>
          <w:vMerge w:val="continue"/>
          <w:shd w:fill="E8E8E8" w:color="auto" w:val="clear"/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line="240" w:lineRule="auto"/>
            <w:jc w:val="left"/>
          </w:pPr>
          <w:r>
            <w:rPr>
              <w:rFonts w:ascii="標楷體" w:cs="標楷體" w:eastAsia="標楷體" w:hAnsi="標楷體"/>
              <w:b w:val="false"/>
              <w:bCs w:val="false"/>
              <w:sz w:val="22"/>
              <w:szCs w:val="22"/>
            </w:rPr>
            <w:t xml:space="preserve"/>
          </w:r>
        </w:p>
      </w:tc>
      <w:tc>
        <w:tcPr>
          <w:tcW w:type="dxa" w:w="4506"/>
          <w:vMerge w:val="continue"/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line="240" w:lineRule="auto"/>
            <w:jc w:val="left"/>
          </w:pPr>
          <w:r>
            <w:rPr>
              <w:rFonts w:ascii="標楷體" w:cs="標楷體" w:eastAsia="標楷體" w:hAnsi="標楷體"/>
              <w:b w:val="false"/>
              <w:bCs w:val="false"/>
              <w:sz w:val="22"/>
              <w:szCs w:val="22"/>
            </w:rPr>
            <w:t xml:space="preserve"/>
          </w:r>
        </w:p>
      </w:tc>
      <w:tc>
        <w:tcPr>
          <w:tcW w:type="dxa" w:w="1400"/>
          <w:shd w:fill="E8E8E8" w:color="auto" w:val="clear"/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line="240" w:lineRule="auto"/>
            <w:jc w:val="center"/>
          </w:pPr>
          <w:r>
            <w:rPr>
              <w:rFonts w:ascii="標楷體" w:cs="標楷體" w:eastAsia="標楷體" w:hAnsi="標楷體"/>
              <w:b/>
              <w:bCs/>
              <w:sz w:val="20"/>
              <w:szCs w:val="20"/>
            </w:rPr>
            <w:t xml:space="preserve">所屬單位</w:t>
          </w:r>
        </w:p>
      </w:tc>
      <w:tc>
        <w:tcPr>
          <w:tcW w:type="dxa" w:w="3000"/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line="240" w:lineRule="auto"/>
            <w:jc w:val="center"/>
          </w:pPr>
          <w:r>
            <w:rPr>
              <w:rFonts w:ascii="標楷體" w:cs="標楷體" w:eastAsia="標楷體" w:hAnsi="標楷體"/>
              <w:b w:val="false"/>
              <w:bCs w:val="false"/>
              <w:sz w:val="20"/>
              <w:szCs w:val="20"/>
            </w:rPr>
            <w:t xml:space="preserve">總務部</w:t>
          </w:r>
        </w:p>
      </w:tc>
    </w:tr>
  </w:tbl>
  <w:p>
    <w:pPr>
      <w:spacing w:after="0" w:line="12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e9fdf06ec33ef625661950b0ef0824f49c06fb1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2026-08-07T06:52:25.440Z</dcterms:created>
  <dcterms:modified xsi:type="dcterms:W3CDTF">2026-08-07T06:52:25.451Z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