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1619250" cy="33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0"/>
        <w:jc w:val="center"/>
      </w:pPr>
      <w:r>
        <w:rPr>
          <w:rFonts w:ascii="標楷體" w:cs="標楷體" w:eastAsia="標楷體" w:hAnsi="標楷體"/>
          <w:b/>
          <w:bCs/>
          <w:sz w:val="28"/>
          <w:szCs w:val="28"/>
        </w:rPr>
        <w:t xml:space="preserve">光田醫療社團法人　光田綜合醫院</w:t>
      </w:r>
    </w:p>
    <w:p>
      <w:pPr>
        <w:spacing w:after="100"/>
        <w:jc w:val="center"/>
      </w:pPr>
      <w:r>
        <w:rPr>
          <w:rFonts w:ascii="標楷體" w:cs="標楷體" w:eastAsia="標楷體" w:hAnsi="標楷體"/>
          <w:b/>
          <w:bCs/>
          <w:sz w:val="30"/>
          <w:szCs w:val="30"/>
        </w:rPr>
        <w:t xml:space="preserve">ISO 50001 能源管理系統</w:t>
      </w:r>
    </w:p>
    <w:p>
      <w:pPr>
        <w:spacing w:after="760"/>
        <w:jc w:val="center"/>
      </w:pPr>
      <w:r>
        <w:rPr>
          <w:rFonts w:ascii="標楷體" w:cs="標楷體" w:eastAsia="標楷體" w:hAnsi="標楷體"/>
          <w:b/>
          <w:bCs/>
          <w:sz w:val="36"/>
          <w:szCs w:val="36"/>
        </w:rPr>
        <w:t xml:space="preserve">能源系統監督與量測管理程序書</w:t>
      </w:r>
    </w:p>
    <w:tbl>
      <w:tblPr>
        <w:tblW w:type="dxa" w:w="831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0"/>
        <w:gridCol w:w="4512"/>
        <w:gridCol w:w="1600"/>
        <w:gridCol w:w="1200"/>
      </w:tblGrid>
      <w:tr>
        <w:tc>
          <w:tcPr>
            <w:tcW w:type="dxa" w:w="10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版次</w:t>
            </w:r>
          </w:p>
        </w:tc>
        <w:tc>
          <w:tcPr>
            <w:tcW w:type="dxa" w:w="4512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修改摘要</w:t>
            </w:r>
          </w:p>
        </w:tc>
        <w:tc>
          <w:tcPr>
            <w:tcW w:type="dxa" w:w="16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日期</w:t>
            </w:r>
          </w:p>
        </w:tc>
        <w:tc>
          <w:tcPr>
            <w:tcW w:type="dxa" w:w="1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備註</w:t>
            </w:r>
          </w:p>
        </w:tc>
      </w:tr>
      <w:tr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第一版</w:t>
            </w:r>
          </w:p>
        </w:tc>
        <w:tc>
          <w:tcPr>
            <w:tcW w:type="dxa" w:w="4512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新增（共 6 頁）－依衛生福利部114年綠色醫療永續規劃暨教育訓練補助計畫制定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115年03月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第二版</w:t>
            </w:r>
          </w:p>
        </w:tc>
        <w:tc>
          <w:tcPr>
            <w:tcW w:type="dxa" w:w="4512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第三版</w:t>
            </w:r>
          </w:p>
        </w:tc>
        <w:tc>
          <w:tcPr>
            <w:tcW w:type="dxa" w:w="4512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480"/>
      </w:pPr>
    </w:p>
    <w:tbl>
      <w:tblPr>
        <w:tblW w:type="dxa" w:w="831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200"/>
        <w:gridCol w:w="2512"/>
      </w:tblGrid>
      <w:tr>
        <w:tc>
          <w:tcPr>
            <w:tcW w:type="dxa" w:w="1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文件類別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□品質手冊　　■作業程序書</w:t>
            </w:r>
          </w:p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□作業指導書　□組織章程</w:t>
            </w:r>
          </w:p>
        </w:tc>
        <w:tc>
          <w:tcPr>
            <w:tcW w:type="dxa" w:w="1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文件編號</w:t>
            </w:r>
          </w:p>
        </w:tc>
        <w:tc>
          <w:tcPr>
            <w:tcW w:type="dxa" w:w="2512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1D10ATP0046-(01)</w:t>
            </w:r>
          </w:p>
        </w:tc>
      </w:tr>
      <w:tr>
        <w:tc>
          <w:tcPr>
            <w:tcW w:type="dxa" w:w="1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機密等級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□機密　■內部使用　□一般</w:t>
            </w:r>
          </w:p>
        </w:tc>
        <w:tc>
          <w:tcPr>
            <w:tcW w:type="dxa" w:w="1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制定日期</w:t>
            </w:r>
          </w:p>
        </w:tc>
        <w:tc>
          <w:tcPr>
            <w:tcW w:type="dxa" w:w="2512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115年03月</w:t>
            </w:r>
          </w:p>
        </w:tc>
      </w:tr>
      <w:tr>
        <w:tc>
          <w:tcPr>
            <w:tcW w:type="dxa" w:w="1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部科類別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□委員會　□醫療類　□護理類</w:t>
            </w:r>
          </w:p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□醫技類　■行政類</w:t>
            </w:r>
          </w:p>
        </w:tc>
        <w:tc>
          <w:tcPr>
            <w:tcW w:type="dxa" w:w="1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制定單位</w:t>
            </w:r>
          </w:p>
        </w:tc>
        <w:tc>
          <w:tcPr>
            <w:tcW w:type="dxa" w:w="2512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總務部</w:t>
            </w:r>
          </w:p>
        </w:tc>
      </w:tr>
      <w:tr>
        <w:tc>
          <w:tcPr>
            <w:tcW w:type="dxa" w:w="1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管制類別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■院內管制　　□部科室管制</w:t>
            </w:r>
          </w:p>
        </w:tc>
        <w:tc>
          <w:tcPr>
            <w:tcW w:type="dxa" w:w="1200"/>
            <w:vMerge w:val="restart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適用院區</w:t>
            </w:r>
          </w:p>
        </w:tc>
        <w:tc>
          <w:tcPr>
            <w:tcW w:type="dxa" w:w="2512"/>
            <w:vMerge w:val="restart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■沙鹿　■大甲　■長青</w:t>
            </w:r>
          </w:p>
        </w:tc>
      </w:tr>
      <w:tr>
        <w:tc>
          <w:tcPr>
            <w:tcW w:type="dxa" w:w="1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文件年限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□一年　　　　■二年</w:t>
            </w:r>
          </w:p>
        </w:tc>
        <w:tc>
          <w:tcPr>
            <w:tcW w:type="dxa" w:w="1200"/>
            <w:vMerge w:val="continue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2"/>
            <w:vMerge w:val="continue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300"/>
      </w:pPr>
    </w:p>
    <w:tbl>
      <w:tblPr>
        <w:tblW w:type="dxa" w:w="831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800"/>
        <w:gridCol w:w="2504"/>
        <w:gridCol w:w="2504"/>
        <w:gridCol w:w="2504"/>
      </w:tblGrid>
      <w:tr>
        <w:tc>
          <w:tcPr>
            <w:tcW w:type="dxa" w:w="800"/>
            <w:vMerge w:val="restart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版　次</w:t>
            </w:r>
          </w:p>
        </w:tc>
        <w:tc>
          <w:tcPr>
            <w:tcW w:type="dxa" w:w="2504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核　准</w:t>
            </w:r>
          </w:p>
        </w:tc>
        <w:tc>
          <w:tcPr>
            <w:tcW w:type="dxa" w:w="2504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審　核</w:t>
            </w:r>
          </w:p>
        </w:tc>
        <w:tc>
          <w:tcPr>
            <w:tcW w:type="dxa" w:w="2504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制　定</w:t>
            </w:r>
          </w:p>
        </w:tc>
      </w:tr>
      <w:tr>
        <w:tc>
          <w:tcPr>
            <w:tcW w:type="dxa" w:w="800"/>
            <w:vMerge w:val="continue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7"/>
                <w:szCs w:val="17"/>
              </w:rPr>
              <w:t xml:space="preserve">副院長（ISO 50001管理代表）</w:t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單位主管（總務部部長）</w:t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制定者（總務部）</w:t>
            </w:r>
          </w:p>
        </w:tc>
      </w:tr>
      <w:tr>
        <w:trPr>
          <w:trHeight w:val="900" w:hRule="atLeast"/>
        </w:trPr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第一版</w:t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第二版</w:t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第三版</w:t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ectPr>
          <w:footerReference w:type="default" r:id="rId7"/>
          <w:pgSz w:w="11906" w:h="16838" w:orient="portrait"/>
          <w:pgMar w:top="1440" w:right="1797" w:bottom="1440" w:left="1797" w:header="720" w:footer="567" w:gutter="0"/>
          <w:pgNumType/>
          <w:docGrid w:linePitch="360"/>
        </w:sectPr>
      </w:pPr>
    </w:p>
    <w:p>
      <w:pPr>
        <w:keepNext/>
        <w:spacing w:after="50" w:before="150" w:line="24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1.目　　的：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1.1 為建立本院能源管理系統監督與量測之作業程序，明定須受監督與量測之對象、方法、時機及評估方式，確保能源績效之資料具正確性與可重複性，特訂定本程序書。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1.2 透過對能源使用狀況之持續監督與量測，掌握重大能源使用(Significant Energy Use, SEU)及其關鍵特性之變化，據以評估能源績效並鑑別改進機會。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1.3 本程序書依 ISO 50001:2018 能源管理系統－附使用指引之要求事項條款 6.6 蒐集能源資料之規劃及條款 9.1.1 監督、量測、分析及評估訂定。</w:t>
      </w:r>
    </w:p>
    <w:p>
      <w:pPr>
        <w:keepNext/>
        <w:spacing w:after="50" w:before="150" w:line="24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2.適用範圍：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2.1 本院沙鹿院區、大甲院區及長青院區，有關能源管理之設施、設備及系統。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2.2 經能源審查鑑別之重大能源使用相關設施、設備、系統及其關鍵特性。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2.3 影響能源績效之相關變數，包括門診人數、住院人日數、外氣溫度及其他經鑑別之變數。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2.4 本程序書之監督與量測，以能源績效為目的；勞工作業環境測定等職業安全衛生法定測定事項，另依本院職業安全衛生相關規定辦理，不屬本程序書範圍。</w:t>
      </w:r>
    </w:p>
    <w:p>
      <w:pPr>
        <w:keepNext/>
        <w:spacing w:after="50" w:before="150" w:line="24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3.名詞解釋：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3.1 監督(Monitoring)：對能源使用、能源消耗及相關變數之狀態，進行持續性或週期性之觀察與紀錄。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3.2 量測(Measurement)：以量測設備取得能源使用、能源消耗或關鍵特性之量化數值。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3.3 關鍵特性(Key Characteristics)：決定能源績效之必要因素，包括重大能源使用之運轉參數、相關變數及能源消耗量。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3.4 能源基準(能源基線EnB)：作為能源績效比較基礎之量化參考。本院採 114 年全年資料建立。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3.5 能源績效指標(EnPI)：本院所界定用以量測及監督能源績效之量化值或量測方式。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3.6 相關變數(Relevant Variable)：對能源績效具例行性影響之可量化因素。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3.7 正規化(Normalization)：為使不同條件下之資料具可比較性，依相關變數所為之修正。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3.8 重大偏差(Significant Deviation)：能源績效實際表現與能源績效指標對應值之差異，達本程序書 6.7.1 所定基準者。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3.9 能源管理盤查小組：本院依 ISO 50001:2018 條款 5.3 設置之能源管理團隊，其編制與職責依 1D10CTC5001 能源管理盤查小組組織章程暨職責說明辦理。</w:t>
      </w:r>
    </w:p>
    <w:p>
      <w:pPr>
        <w:keepNext/>
        <w:spacing w:after="50" w:before="150" w:line="24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4.相關文件：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4.1 1D10ATQ0001 能源管理手冊。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4.2 1D10CTC5001 能源管理盤查小組組織章程暨職責說明。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4.3 1D10ATP0048 能源審查程序書。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4.4 1D10ATP0066 能源管理目標與方案管理程序書。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4.5 1D10ATP0051 能源法規鑑別與符合性查核程序書。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4.6 1D10ATP0030 電力設備管理辦法。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4.7 1D10ATP0037 空調送風機檢查與保養辦法。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4.8 1D10ATP0039 照度標準作業流程。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4.9 0220ATP0001 文件制定與管制作業辦法。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4.10 能源管理法及其相關子法。</w:t>
      </w:r>
    </w:p>
    <w:p>
      <w:pPr>
        <w:keepNext/>
        <w:spacing w:after="50" w:before="150" w:line="24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5.權　　責：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5.1 ISO 50001管理代表：核定監督與量測項目及其管制標準；核定量測設備校正計畫；督導重大偏差之調查與回應。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5.2 能源管理盤查小組：審議監督與量測結果及能源績效評估報告；認定重大偏差並決議應採取之措施；追蹤改善結果。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5.3 總務部（執行秘書）：統籌監督與量測之規劃；彙整並分析全院量測數據；編製能源績效評估報告；保存相關文件化資訊。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5.4 工務課：執行電力、空調、鍋爐、給排水及其他動力系統之監督與量測；辦理量測設備之校正、維護與標示；保存量測原始紀錄。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5.5 醫工課：提供醫療儀器設備之運轉參數與能耗量測資料，並配合專用計量設備之設置。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5.6 資訊部：維運能源數據 E 化蒐集與智能 AI 監控系統，確保數據擷取之連續性與完整性；提供機房及資通訊設備能耗數據。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5.7 各能源使用單位：依規定週期提供所屬單位之能源使用及相關變數數據，並確保其正確性；配合現場量測作業。</w:t>
      </w:r>
    </w:p>
    <w:p>
      <w:pPr>
        <w:keepNext/>
        <w:spacing w:after="50" w:before="150" w:line="24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6.內　　容：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6.1 能源資料蒐集之規劃（條款 6.6）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6.1.1 本院依「能源使用關鍵係數量測監控規劃表」規劃能源資料之蒐集，其內容應載明量測項目、量測參數、量測方法、量測頻率、量測設備及執行單位。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6.1.2 規劃時應確保所蒐集之資料，足以支持能源基準(能源基線EnB)之建立與能源績效指標(EnPI)之計算。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6.1.3 所蒐集之資料應具正確性、可重複性及可追溯性；資料之取得時點應與能源績效比較之期間一致。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6.1.4 前列規劃每年至少檢討一次，並於能源審查更新時同步檢討。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6.2 監督與量測項目之建立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6.2.1 本院依下列來源建立監督與量測項目：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6.2.1.1 依 1D10ATP0066 能源管理目標與方案管理程序書所訂定之能源目標與能源標的，其量化指標所需之監督量測項目。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6.2.1.2 依 1D10ATP0051 所鑑別之法規要求事項及其他要求事項所定之量化值。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6.2.1.3 依 1D10ATP0048 能源審查程序書所鑑別之重大能源使用，由能源管理盤查小組訂為監督量測項目。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6.2.1.4 經 1D10ATP0059 組織背景及風險管理程序評估為須管制之風險相關作業或活動。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6.2.2 不定期監督與量測之時機：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6.2.2.1 主管機關函文要求時。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6.2.2.2 因應同仁或外部利害相關者之反映，經能源管理盤查小組認定有量測必要時。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6.2.2.3 重大能源使用發生變動，經能源管理盤查小組評估有量測必要時。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6.2.2.4 相關技術研發或節能改善方案需進行效益驗證時。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6.2.3 本院監督與量測項目、參數、頻率及執行單位如下表；其細項及管制標準詳附件一。</w:t>
      </w:r>
    </w:p>
    <w:p>
      <w:pPr>
        <w:spacing w:after="0" w:before="0" w:line="120"/>
      </w:pPr>
    </w:p>
    <w:tbl>
      <w:tblPr>
        <w:tblW w:type="dxa" w:w="102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2300"/>
        <w:gridCol w:w="1500"/>
        <w:gridCol w:w="1806"/>
      </w:tblGrid>
      <w:tr>
        <w:trPr>
          <w:tblHeader/>
        </w:trPr>
        <w:tc>
          <w:tcPr>
            <w:tcW w:type="dxa" w:w="19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監督量測對象</w:t>
            </w:r>
          </w:p>
        </w:tc>
        <w:tc>
          <w:tcPr>
            <w:tcW w:type="dxa" w:w="27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量測參數／關鍵特性</w:t>
            </w:r>
          </w:p>
        </w:tc>
        <w:tc>
          <w:tcPr>
            <w:tcW w:type="dxa" w:w="23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量測方式</w:t>
            </w:r>
          </w:p>
        </w:tc>
        <w:tc>
          <w:tcPr>
            <w:tcW w:type="dxa" w:w="15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頻率</w:t>
            </w:r>
          </w:p>
        </w:tc>
        <w:tc>
          <w:tcPr>
            <w:tcW w:type="dxa" w:w="1806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執行單位</w:t>
            </w:r>
          </w:p>
        </w:tc>
      </w:tr>
      <w:tr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全院總用電</w:t>
            </w:r>
          </w:p>
        </w:tc>
        <w:tc>
          <w:tcPr>
            <w:tcW w:type="dxa" w:w="2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用電度數、契約容量、最高需量、功率因數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電費單、總錶抄錶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每月</w:t>
            </w:r>
          </w:p>
        </w:tc>
        <w:tc>
          <w:tcPr>
            <w:tcW w:type="dxa" w:w="18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工務課</w:t>
            </w:r>
          </w:p>
        </w:tc>
      </w:tr>
      <w:tr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空調系統</w:t>
            </w:r>
          </w:p>
        </w:tc>
        <w:tc>
          <w:tcPr>
            <w:tcW w:type="dxa" w:w="2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冰機用電、冰水進出水溫、運轉時數、外氣溫度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數位監控系統、現場抄錶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每月</w:t>
            </w:r>
          </w:p>
        </w:tc>
        <w:tc>
          <w:tcPr>
            <w:tcW w:type="dxa" w:w="18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工務課</w:t>
            </w:r>
          </w:p>
        </w:tc>
      </w:tr>
      <w:tr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照明系統</w:t>
            </w:r>
          </w:p>
        </w:tc>
        <w:tc>
          <w:tcPr>
            <w:tcW w:type="dxa" w:w="2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照度、燈具數量與型式、用電度數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照度計、分錶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每季</w:t>
            </w:r>
          </w:p>
        </w:tc>
        <w:tc>
          <w:tcPr>
            <w:tcW w:type="dxa" w:w="18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工務課</w:t>
            </w:r>
          </w:p>
        </w:tc>
      </w:tr>
      <w:tr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電力設備</w:t>
            </w:r>
          </w:p>
        </w:tc>
        <w:tc>
          <w:tcPr>
            <w:tcW w:type="dxa" w:w="2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變壓器負載率、發電機試車耗油量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電力監控、油料領用紀錄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每月</w:t>
            </w:r>
          </w:p>
        </w:tc>
        <w:tc>
          <w:tcPr>
            <w:tcW w:type="dxa" w:w="18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工務課</w:t>
            </w:r>
          </w:p>
        </w:tc>
      </w:tr>
      <w:tr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鍋爐／蒸氣</w:t>
            </w:r>
          </w:p>
        </w:tc>
        <w:tc>
          <w:tcPr>
            <w:tcW w:type="dxa" w:w="2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天然氣使用量、蒸氣產出量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瓦斯錶、費單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每月</w:t>
            </w:r>
          </w:p>
        </w:tc>
        <w:tc>
          <w:tcPr>
            <w:tcW w:type="dxa" w:w="18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工務課</w:t>
            </w:r>
          </w:p>
        </w:tc>
      </w:tr>
      <w:tr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醫療儀器設備</w:t>
            </w:r>
          </w:p>
        </w:tc>
        <w:tc>
          <w:tcPr>
            <w:tcW w:type="dxa" w:w="2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額定功率、運轉時數、待機時數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設備紀錄、專用計量設備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每季</w:t>
            </w:r>
          </w:p>
        </w:tc>
        <w:tc>
          <w:tcPr>
            <w:tcW w:type="dxa" w:w="18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醫工課</w:t>
            </w:r>
          </w:p>
        </w:tc>
      </w:tr>
      <w:tr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機房及資通訊</w:t>
            </w:r>
          </w:p>
        </w:tc>
        <w:tc>
          <w:tcPr>
            <w:tcW w:type="dxa" w:w="2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機房用電、空調負載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分錶、AI 監控系統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每月</w:t>
            </w:r>
          </w:p>
        </w:tc>
        <w:tc>
          <w:tcPr>
            <w:tcW w:type="dxa" w:w="18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資訊部</w:t>
            </w:r>
          </w:p>
        </w:tc>
      </w:tr>
      <w:tr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公務車輛</w:t>
            </w:r>
          </w:p>
        </w:tc>
        <w:tc>
          <w:tcPr>
            <w:tcW w:type="dxa" w:w="2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汽油、柴油領用量、行駛里程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油料領用紀錄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每月</w:t>
            </w:r>
          </w:p>
        </w:tc>
        <w:tc>
          <w:tcPr>
            <w:tcW w:type="dxa" w:w="18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總務部</w:t>
            </w:r>
          </w:p>
        </w:tc>
      </w:tr>
      <w:tr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相關變數</w:t>
            </w:r>
          </w:p>
        </w:tc>
        <w:tc>
          <w:tcPr>
            <w:tcW w:type="dxa" w:w="2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門診人數、住院人日數、外氣溫度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醫務統計、氣象資料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每月</w:t>
            </w:r>
          </w:p>
        </w:tc>
        <w:tc>
          <w:tcPr>
            <w:tcW w:type="dxa" w:w="18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各權責單位</w:t>
            </w:r>
          </w:p>
        </w:tc>
      </w:tr>
    </w:tbl>
    <w:p>
      <w:pPr>
        <w:spacing w:after="0" w:before="0" w:line="120"/>
      </w:pP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6.3 量測計畫與作業標準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6.3.1 主管機關已公告標準方法者，依其公告方法辦理。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6.3.2 屬法規管制項目而須委外辦理者，應委託主管機關許可之檢測機構，採用公告或規定之標準方法進行檢測，委外項目不另訂作業標準。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6.3.3 重大能源使用相關設施、設備、系統之量測，依 1D10ATP0030 電力設備管理辦法、1D10ATP0037 空調送風機檢查與保養辦法、1D10ATP0039 照度標準作業流程及各該設備之作業指導書辦理。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6.3.4 不屬前三項者，視其必要性由權責單位訂定適當之作業標準；未另訂作業標準或標準未詳細規定之事項，依本程序書執行。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6.4 監督與量測之執行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6.4.1 本院可自行量測之項目，由權責單位依附件一所定頻率及方法執行，並填載原始量測紀錄。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6.4.2 本院無法自行量測之項目，得委託主管機關認可之檢驗測定機構或實驗室代為檢測，並取得檢測報告。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6.4.3 量測紀錄應載明量測日期、地點、量測值、單位、量測設備編號及量測人員，以確保可追溯性。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6.4.4 以自動化監控系統擷取之數據，應確保系統時間、單位換算及資料完整性；發生擷取中斷時，應記錄中斷期間並以人工抄錶補正。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6.5 量測設備之校正與維護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6.5.1 用以決定能源績效關鍵特性之量測設備，應依規定週期實施校正或查證，並保存校正紀錄。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6.5.2 各量測設備之名稱、地點、校正週期、檢測方式及執行單位，詳附件一。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6.5.3 校正方式：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6.5.3.1 可自行校正者，得購置標準件、標準液體或標準氣體進行校正，校正後應加貼校正標籤，標示校正日期與有效期限。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6.5.3.2 標準件、標準液體或標準氣體之來源，須具合格機構出具之校正或成分分析報告。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6.5.3.3 無法自行校正之量測設備，應委託合格機構代為校正。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6.5.3.4 保養廠商以自身儀器設備執行本院設備校正者，應檢附合格機構出具之校正分析證明。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6.5.4 委外檢測之項目，不須由本院自行辦理量測設備之校正與維修。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6.5.5 量測設備經發現不符校正要求時，應評估其對先前量測結果之影響，必要時重新量測，並記錄評估結果與所採取之措施。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6.5.6 量測設備超過校正效期者，不得作為能源績效評估之依據。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6.6 數據分析與能源績效評估（條款 9.1.1）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6.6.1 量測結果由總務部彙整與分析後分送各相關單位，並提報能源管理盤查小組檢討。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6.6.2 能源績效之評估，應將能源績效指標(EnPI)之實際值與能源基準(能源基線EnB)之對應值進行比較，其計算方法依 1D10ATP0048 能源審查程序書辦理。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6.6.3 當相關變數發生變動致資料不具可比較性時，應先進行正規化修正後再行比較，其修正方法及理由應保存為文件化資訊。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6.6.4 分析內容應包括：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6.6.4.1 各類能源消耗量及其趨勢變化。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6.6.4.2 重大能源使用之能源績效變化。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6.6.4.3 能源目標與能源標的之達成程度。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6.6.4.4 行動計畫之實施成效。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6.6.5 115 年 1 月至 7 月為績效比對期，逐月彙整分析結果，並經能源管理盤查小組會議確認。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6.7 重大偏差之調查與回應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6.7.1 能源績效表現單月超出同期能源績效指標對應值 25% 時，認定為重大偏差。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6.7.2 發生重大偏差時，權責單位應調查其原因，並回應處理，其調查內容至少包括：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6.7.2.1 是否因量測設備失準或數據擷取異常所致。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6.7.2.2 是否因相關變數變動所致，並評估是否須進行正規化修正。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6.7.2.3 是否因設備故障、運轉參數偏移或操作行為改變所致。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6.7.2.4 是否因能源基準或能源績效指標設定不當所致，如是，應依 1D10ATP0048 辦理重新設定。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6.7.3 調查結果及所採取之措施，應提報能源管理盤查小組；經評估須採取矯正措施者，依 1D10ATQ0001 能源管理手冊 6.7.1 辦理。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6.7.4 監督量測項目因日常作業管制不佳，或因法規趨於嚴格而有不符規定之虞者，應依主管機關公告之最新法規檢討改善，並重新建立監督與量測項目。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6.7.5 重大偏差之調查與回應結果，應保存為文件化資訊。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6.8 監督量測結果之運用與銜接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6.8.1 監督與量測結果為能源審查之投入資料，依 1D10ATP0048 能源審查程序書辦理。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6.8.2 監督與量測結果應提供管理階層審查，依 1D10ATQ0001 能源管理手冊 6.6.5 辦理。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6.8.3 法規要求事項及其他要求事項之守規性評估，依 1D10ATP0051 能源法規鑑別與符合性查核程序書辦理。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6.8.4 監督與量測結果顯示須調整能源目標、能源標的或行動計畫者，依 1D10ATP0066 辦理。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6.8.5 設施、設備或系統發生變更致影響監督量測項目者，依 1D10ATP0050 能源系統變更管理程序書辦理，並同步更新附件一。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6.9 文件化資訊之保存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6.9.1 監督與量測結果之管制單位及保存年限，依相關法規規定辦理；法規未規定者，保存年限至少三年。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6.9.2 電子媒體之文件化資訊，應建立資料夾並以年度識別更新，必要時設置密碼與權限管制。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6.9.3 前二項依 0220ATP0001 文件制定與管制作業辦法辦理管制。</w:t>
      </w:r>
    </w:p>
    <w:p>
      <w:pPr>
        <w:keepNext/>
        <w:spacing w:after="50" w:before="150" w:line="24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7.流 程 圖：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7.1 能源系統監督與量測作業流程如下圖。</w:t>
      </w:r>
    </w:p>
    <w:p>
      <w:pPr>
        <w:spacing w:after="100" w:before="100"/>
        <w:jc w:val="center"/>
      </w:pPr>
      <w:r>
        <w:drawing>
          <wp:inline distT="0" distB="0" distL="0" distR="0">
            <wp:extent cx="4191000" cy="5343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50" w:before="150" w:line="24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8.稽核機制：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8.1 權責人員：內部稽核員。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8.2 稽核時機：每年至少一次，並於當年度管理階層審查前完成。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8.3 稽核工具：能源使用關鍵係數量測監控規劃表、監測儀器執行單位與校正週期一覽表、量測原始紀錄、能源績效評估報告、能源管理盤查小組會議紀錄。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8.4 稽核重點：監督與量測是否依規劃頻率執行；量測設備是否於校正效期內且校正紀錄可追溯；數據分析是否與能源基準確實比較；重大偏差是否完成調查、回應及追蹤結案。</w:t>
      </w:r>
    </w:p>
    <w:p>
      <w:pPr>
        <w:keepNext/>
        <w:spacing w:after="50" w:before="150" w:line="24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9.記　　錄：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9.1 能源使用關鍵係數量測監控規劃表。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9.2 監測儀器執行單位與校正週期一覽表。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9.3 各項量測原始紀錄及委外檢測報告。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9.4 量測設備校正紀錄及校正證明。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9.5 能源管理系統用電時數統計表。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9.6 重大偏差調查與回應紀錄。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9.7 1D10ATF5004 能源績效指標(EnPI)報告。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9.8 前列記錄依 ISO 50001:2018 條款 7.5 保存為文件化資訊，並依 6.9 辦理。</w:t>
      </w:r>
    </w:p>
    <w:p>
      <w:pPr>
        <w:keepNext/>
        <w:spacing w:after="50" w:before="150" w:line="24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10.附　　件：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10.1 附件一　監測儀器執行單位與校正週期一覽表。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10.2 附件二　能源使用關鍵係數量測監控規劃表。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10.3 前列表單之編號，依 0220ATP0001 條款 6.2 以 19 碼表單編號管制，隨本程序書發行。</w:t>
      </w:r>
    </w:p>
    <w:p>
      <w:pPr>
        <w:pageBreakBefore/>
        <w:spacing w:after="140"/>
        <w:jc w:val="center"/>
      </w:pPr>
      <w:r>
        <w:rPr>
          <w:rFonts w:ascii="標楷體" w:cs="標楷體" w:eastAsia="標楷體" w:hAnsi="標楷體"/>
          <w:b/>
          <w:bCs/>
          <w:sz w:val="28"/>
          <w:szCs w:val="28"/>
        </w:rPr>
        <w:t xml:space="preserve">附件一　監測儀器執行單位與校正週期一覽表</w:t>
      </w:r>
    </w:p>
    <w:tbl>
      <w:tblPr>
        <w:tblW w:type="dxa" w:w="102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2200"/>
        <w:gridCol w:w="1500"/>
        <w:gridCol w:w="1800"/>
        <w:gridCol w:w="1506"/>
      </w:tblGrid>
      <w:tr>
        <w:trPr>
          <w:tblHeader/>
        </w:trPr>
        <w:tc>
          <w:tcPr>
            <w:tcW w:type="dxa" w:w="7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25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監測儀器名稱</w:t>
            </w:r>
          </w:p>
        </w:tc>
        <w:tc>
          <w:tcPr>
            <w:tcW w:type="dxa" w:w="2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監測地點</w:t>
            </w:r>
          </w:p>
        </w:tc>
        <w:tc>
          <w:tcPr>
            <w:tcW w:type="dxa" w:w="15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校正週期</w:t>
            </w:r>
          </w:p>
        </w:tc>
        <w:tc>
          <w:tcPr>
            <w:tcW w:type="dxa" w:w="18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檢測方式</w:t>
            </w:r>
          </w:p>
        </w:tc>
        <w:tc>
          <w:tcPr>
            <w:tcW w:type="dxa" w:w="1506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執行單位</w:t>
            </w:r>
          </w:p>
        </w:tc>
      </w:tr>
      <w:t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電力總錶／分錶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各院區受電室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每年一次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委外校正</w:t>
            </w:r>
          </w:p>
        </w:tc>
        <w:tc>
          <w:tcPr>
            <w:tcW w:type="dxa" w:w="15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工務課</w:t>
            </w:r>
          </w:p>
        </w:tc>
      </w:tr>
      <w:t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電力數位監控系統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中央監控室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每年一次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委外校正</w:t>
            </w:r>
          </w:p>
        </w:tc>
        <w:tc>
          <w:tcPr>
            <w:tcW w:type="dxa" w:w="15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工務課</w:t>
            </w:r>
          </w:p>
        </w:tc>
      </w:tr>
      <w:t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冰水主機溫度計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空調機房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每年一次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委外校正</w:t>
            </w:r>
          </w:p>
        </w:tc>
        <w:tc>
          <w:tcPr>
            <w:tcW w:type="dxa" w:w="15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工務課</w:t>
            </w:r>
          </w:p>
        </w:tc>
      </w:tr>
      <w:t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照度計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各量測區域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每年一次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委外校正</w:t>
            </w:r>
          </w:p>
        </w:tc>
        <w:tc>
          <w:tcPr>
            <w:tcW w:type="dxa" w:w="15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工務課</w:t>
            </w:r>
          </w:p>
        </w:tc>
      </w:tr>
      <w:t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天然氣流量錶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鍋爐房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依台灣中油規定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供氣事業辦理</w:t>
            </w:r>
          </w:p>
        </w:tc>
        <w:tc>
          <w:tcPr>
            <w:tcW w:type="dxa" w:w="15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工務課</w:t>
            </w:r>
          </w:p>
        </w:tc>
      </w:tr>
      <w:t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醫療設備專用計量設備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各醫療單位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每年一次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委外校正</w:t>
            </w:r>
          </w:p>
        </w:tc>
        <w:tc>
          <w:tcPr>
            <w:tcW w:type="dxa" w:w="15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醫工課</w:t>
            </w:r>
          </w:p>
        </w:tc>
      </w:tr>
      <w:t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機房電力監控設備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資訊機房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每年一次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委外校正</w:t>
            </w:r>
          </w:p>
        </w:tc>
        <w:tc>
          <w:tcPr>
            <w:tcW w:type="dxa" w:w="15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資訊部</w:t>
            </w:r>
          </w:p>
        </w:tc>
      </w:tr>
      <w:tr>
        <w:trPr>
          <w:trHeight w:val="380" w:hRule="atLeast"/>
        </w:trP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line="240"/>
      </w:pPr>
      <w:r>
        <w:rPr>
          <w:rFonts w:ascii="標楷體" w:cs="標楷體" w:eastAsia="標楷體" w:hAnsi="標楷體"/>
          <w:b/>
          <w:bCs/>
          <w:sz w:val="20"/>
          <w:szCs w:val="20"/>
        </w:rPr>
        <w:t xml:space="preserve">填表說明：</w:t>
      </w:r>
    </w:p>
    <w:p>
      <w:pPr>
        <w:spacing w:line="240"/>
        <w:ind w:left="480"/>
      </w:pP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1. 本表由工務課彙整維護，量測設備新增、汰換或校正週期變更時應即更新。</w:t>
      </w:r>
    </w:p>
    <w:p>
      <w:pPr>
        <w:spacing w:line="240"/>
        <w:ind w:left="480"/>
      </w:pP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2. 委外校正者應保存合格機構出具之校正報告；自行校正者應保存標準件之校正或成分分析報告。</w:t>
      </w:r>
    </w:p>
    <w:p>
      <w:pPr>
        <w:spacing w:line="240"/>
        <w:ind w:left="480"/>
      </w:pP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3. 本表經 ISO 50001管理代表核定後實施。</w:t>
      </w:r>
    </w:p>
    <w:sectPr>
      <w:headerReference w:type="default" r:id="rId8"/>
      <w:footerReference w:type="default" r:id="rId9"/>
      <w:pgSz w:w="11906" w:h="16838" w:orient="portrait"/>
      <w:pgMar w:top="850" w:right="850" w:bottom="850" w:left="850" w:header="400" w:footer="4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8312"/>
      </w:tabs>
    </w:pPr>
    <w:r>
      <w:rPr>
        <w:rFonts w:ascii="標楷體" w:cs="標楷體" w:eastAsia="標楷體" w:hAnsi="標楷體"/>
        <w:b w:val="false"/>
        <w:bCs w:val="false"/>
        <w:sz w:val="18"/>
        <w:szCs w:val="18"/>
      </w:rPr>
      <w:t xml:space="preserve">光田綜合醫院文件，非經許可不得以任何方式翻製或複印</w:t>
    </w:r>
    <w:r>
      <w:tab/>
    </w:r>
    <w:r>
      <w:rPr>
        <w:rFonts w:ascii="標楷體" w:cs="標楷體" w:eastAsia="標楷體" w:hAnsi="標楷體"/>
        <w:b w:val="false"/>
        <w:bCs w:val="false"/>
        <w:sz w:val="20"/>
        <w:szCs w:val="20"/>
      </w:rPr>
      <w:t xml:space="preserve">文件發行章：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206"/>
      <w:tblBorders>
        <w:top w:val="single" w:color="000000" w:sz="4"/>
        <w:left w:val="single" w:color="000000" w:sz="4"/>
        <w:bottom w:val="single" w:color="000000" w:sz="4"/>
        <w:right w:val="single" w:color="000000" w:sz="4"/>
        <w:insideH w:val="single" w:color="auto" w:sz="4"/>
        <w:insideV w:val="single" w:color="auto" w:sz="4"/>
      </w:tblBorders>
    </w:tblPr>
    <w:tblGrid>
      <w:gridCol w:w="1300"/>
      <w:gridCol w:w="4506"/>
      <w:gridCol w:w="1400"/>
      <w:gridCol w:w="3000"/>
    </w:tblGrid>
    <w:tr>
      <w:tc>
        <w:tcPr>
          <w:tcW w:type="dxa" w:w="1300"/>
          <w:shd w:fill="E8E8E8" w:color="auto" w:val="clear"/>
          <w:tcMar>
            <w:top w:type="dxa" w:w="40"/>
            <w:left w:type="dxa" w:w="70"/>
            <w:bottom w:type="dxa" w:w="40"/>
            <w:right w:type="dxa" w:w="70"/>
          </w:tcMar>
          <w:vAlign w:val="center"/>
        </w:tcPr>
        <w:p>
          <w:pPr>
            <w:spacing w:line="235"/>
            <w:jc w:val="center"/>
          </w:pPr>
          <w:r>
            <w:rPr>
              <w:rFonts w:ascii="標楷體" w:cs="標楷體" w:eastAsia="標楷體" w:hAnsi="標楷體"/>
              <w:b/>
              <w:bCs/>
              <w:sz w:val="20"/>
              <w:szCs w:val="20"/>
            </w:rPr>
            <w:t xml:space="preserve">文件名稱</w:t>
          </w:r>
        </w:p>
      </w:tc>
      <w:tc>
        <w:tcPr>
          <w:tcW w:type="dxa" w:w="4506"/>
          <w:tcMar>
            <w:top w:type="dxa" w:w="40"/>
            <w:left w:type="dxa" w:w="70"/>
            <w:bottom w:type="dxa" w:w="40"/>
            <w:right w:type="dxa" w:w="70"/>
          </w:tcMar>
          <w:vAlign w:val="center"/>
        </w:tcPr>
        <w:p>
          <w:pPr>
            <w:spacing w:line="235"/>
            <w:jc w:val="center"/>
          </w:pPr>
          <w:r>
            <w:rPr>
              <w:rFonts w:ascii="標楷體" w:cs="標楷體" w:eastAsia="標楷體" w:hAnsi="標楷體"/>
              <w:b/>
              <w:bCs/>
              <w:sz w:val="20"/>
              <w:szCs w:val="20"/>
            </w:rPr>
            <w:t xml:space="preserve">能源系統監督與量測管理程序書</w:t>
          </w:r>
        </w:p>
      </w:tc>
      <w:tc>
        <w:tcPr>
          <w:tcW w:type="dxa" w:w="1400"/>
          <w:shd w:fill="E8E8E8" w:color="auto" w:val="clear"/>
          <w:tcMar>
            <w:top w:type="dxa" w:w="40"/>
            <w:left w:type="dxa" w:w="70"/>
            <w:bottom w:type="dxa" w:w="40"/>
            <w:right w:type="dxa" w:w="70"/>
          </w:tcMar>
          <w:vAlign w:val="center"/>
        </w:tcPr>
        <w:p>
          <w:pPr>
            <w:spacing w:line="235"/>
            <w:jc w:val="center"/>
          </w:pPr>
          <w:r>
            <w:rPr>
              <w:rFonts w:ascii="標楷體" w:cs="標楷體" w:eastAsia="標楷體" w:hAnsi="標楷體"/>
              <w:b/>
              <w:bCs/>
              <w:sz w:val="20"/>
              <w:szCs w:val="20"/>
            </w:rPr>
            <w:t xml:space="preserve">文件編號</w:t>
          </w:r>
        </w:p>
      </w:tc>
      <w:tc>
        <w:tcPr>
          <w:tcW w:type="dxa" w:w="3000"/>
          <w:tcMar>
            <w:top w:type="dxa" w:w="40"/>
            <w:left w:type="dxa" w:w="70"/>
            <w:bottom w:type="dxa" w:w="40"/>
            <w:right w:type="dxa" w:w="70"/>
          </w:tcMar>
          <w:vAlign w:val="center"/>
        </w:tcPr>
        <w:p>
          <w:pPr>
            <w:spacing w:line="235"/>
            <w:jc w:val="center"/>
          </w:pPr>
          <w:r>
            <w:rPr>
              <w:rFonts w:ascii="標楷體" w:cs="標楷體" w:eastAsia="標楷體" w:hAnsi="標楷體"/>
              <w:b w:val="false"/>
              <w:bCs w:val="false"/>
              <w:sz w:val="20"/>
              <w:szCs w:val="20"/>
            </w:rPr>
            <w:t xml:space="preserve">1D10ATP0046-(01)</w:t>
          </w:r>
        </w:p>
      </w:tc>
    </w:tr>
    <w:tr>
      <w:tc>
        <w:tcPr>
          <w:tcW w:type="dxa" w:w="1300"/>
          <w:vMerge w:val="restart"/>
          <w:shd w:fill="E8E8E8" w:color="auto" w:val="clear"/>
          <w:tcMar>
            <w:top w:type="dxa" w:w="40"/>
            <w:left w:type="dxa" w:w="70"/>
            <w:bottom w:type="dxa" w:w="40"/>
            <w:right w:type="dxa" w:w="70"/>
          </w:tcMar>
          <w:vAlign w:val="center"/>
        </w:tcPr>
        <w:p>
          <w:pPr>
            <w:spacing w:line="235"/>
            <w:jc w:val="center"/>
          </w:pPr>
          <w:r>
            <w:rPr>
              <w:rFonts w:ascii="標楷體" w:cs="標楷體" w:eastAsia="標楷體" w:hAnsi="標楷體"/>
              <w:b/>
              <w:bCs/>
              <w:sz w:val="20"/>
              <w:szCs w:val="20"/>
            </w:rPr>
            <w:t xml:space="preserve">文件類別</w:t>
          </w:r>
        </w:p>
      </w:tc>
      <w:tc>
        <w:tcPr>
          <w:tcW w:type="dxa" w:w="4506"/>
          <w:vMerge w:val="restart"/>
          <w:tcMar>
            <w:top w:type="dxa" w:w="40"/>
            <w:left w:type="dxa" w:w="70"/>
            <w:bottom w:type="dxa" w:w="40"/>
            <w:right w:type="dxa" w:w="70"/>
          </w:tcMar>
          <w:vAlign w:val="center"/>
        </w:tcPr>
        <w:p>
          <w:pPr>
            <w:spacing w:line="235"/>
            <w:jc w:val="center"/>
          </w:pPr>
          <w:r>
            <w:rPr>
              <w:rFonts w:ascii="標楷體" w:cs="標楷體" w:eastAsia="標楷體" w:hAnsi="標楷體"/>
              <w:b w:val="false"/>
              <w:bCs w:val="false"/>
              <w:sz w:val="20"/>
              <w:szCs w:val="20"/>
            </w:rPr>
            <w:t xml:space="preserve">作　業　程　序　書</w:t>
          </w:r>
        </w:p>
      </w:tc>
      <w:tc>
        <w:tcPr>
          <w:tcW w:type="dxa" w:w="1400"/>
          <w:shd w:fill="E8E8E8" w:color="auto" w:val="clear"/>
          <w:tcMar>
            <w:top w:type="dxa" w:w="40"/>
            <w:left w:type="dxa" w:w="70"/>
            <w:bottom w:type="dxa" w:w="40"/>
            <w:right w:type="dxa" w:w="70"/>
          </w:tcMar>
          <w:vAlign w:val="center"/>
        </w:tcPr>
        <w:p>
          <w:pPr>
            <w:spacing w:line="235"/>
            <w:jc w:val="center"/>
          </w:pPr>
          <w:r>
            <w:rPr>
              <w:rFonts w:ascii="標楷體" w:cs="標楷體" w:eastAsia="標楷體" w:hAnsi="標楷體"/>
              <w:b/>
              <w:bCs/>
              <w:sz w:val="20"/>
              <w:szCs w:val="20"/>
            </w:rPr>
            <w:t xml:space="preserve">頁　　次</w:t>
          </w:r>
        </w:p>
      </w:tc>
      <w:tc>
        <w:tcPr>
          <w:tcW w:type="dxa" w:w="3000"/>
          <w:tcMar>
            <w:top w:type="dxa" w:w="50"/>
            <w:left w:type="dxa" w:w="80"/>
            <w:bottom w:type="dxa" w:w="50"/>
            <w:right w:type="dxa" w:w="80"/>
          </w:tcMar>
          <w:vAlign w:val="center"/>
        </w:tcPr>
        <w:p>
          <w:pPr>
            <w:jc w:val="center"/>
          </w:pPr>
          <w:r>
            <w:rPr>
              <w:rFonts w:ascii="標楷體" w:cs="標楷體" w:eastAsia="標楷體" w:hAnsi="標楷體"/>
              <w:sz w:val="20"/>
              <w:szCs w:val="20"/>
            </w:rPr>
            <w:t xml:space="preserve">第 </w:t>
            <w:fldChar w:fldCharType="begin"/>
            <w:instrText xml:space="preserve">PAGE</w:instrText>
            <w:fldChar w:fldCharType="separate"/>
            <w:fldChar w:fldCharType="end"/>
            <w:t xml:space="preserve"> 頁、共 6 頁</w:t>
          </w:r>
        </w:p>
      </w:tc>
    </w:tr>
    <w:tr>
      <w:tc>
        <w:tcPr>
          <w:tcW w:type="dxa" w:w="1300"/>
          <w:vMerge w:val="continue"/>
          <w:shd w:fill="E8E8E8" w:color="auto" w:val="clear"/>
          <w:tcMar>
            <w:top w:type="dxa" w:w="40"/>
            <w:left w:type="dxa" w:w="70"/>
            <w:bottom w:type="dxa" w:w="40"/>
            <w:right w:type="dxa" w:w="70"/>
          </w:tcMar>
          <w:vAlign w:val="center"/>
        </w:tcPr>
        <w:p>
          <w:pPr>
            <w:spacing w:line="235"/>
            <w:jc w:val="left"/>
          </w:pPr>
          <w:r>
            <w:rPr>
              <w:rFonts w:ascii="標楷體" w:cs="標楷體" w:eastAsia="標楷體" w:hAnsi="標楷體"/>
              <w:b w:val="false"/>
              <w:bCs w:val="false"/>
              <w:sz w:val="20"/>
              <w:szCs w:val="20"/>
            </w:rPr>
            <w:t xml:space="preserve"/>
          </w:r>
        </w:p>
      </w:tc>
      <w:tc>
        <w:tcPr>
          <w:tcW w:type="dxa" w:w="4506"/>
          <w:vMerge w:val="continue"/>
          <w:tcMar>
            <w:top w:type="dxa" w:w="40"/>
            <w:left w:type="dxa" w:w="70"/>
            <w:bottom w:type="dxa" w:w="40"/>
            <w:right w:type="dxa" w:w="70"/>
          </w:tcMar>
          <w:vAlign w:val="center"/>
        </w:tcPr>
        <w:p>
          <w:pPr>
            <w:spacing w:line="235"/>
            <w:jc w:val="left"/>
          </w:pPr>
          <w:r>
            <w:rPr>
              <w:rFonts w:ascii="標楷體" w:cs="標楷體" w:eastAsia="標楷體" w:hAnsi="標楷體"/>
              <w:b w:val="false"/>
              <w:bCs w:val="false"/>
              <w:sz w:val="20"/>
              <w:szCs w:val="20"/>
            </w:rPr>
            <w:t xml:space="preserve"/>
          </w:r>
        </w:p>
      </w:tc>
      <w:tc>
        <w:tcPr>
          <w:tcW w:type="dxa" w:w="1400"/>
          <w:shd w:fill="E8E8E8" w:color="auto" w:val="clear"/>
          <w:tcMar>
            <w:top w:type="dxa" w:w="40"/>
            <w:left w:type="dxa" w:w="70"/>
            <w:bottom w:type="dxa" w:w="40"/>
            <w:right w:type="dxa" w:w="70"/>
          </w:tcMar>
          <w:vAlign w:val="center"/>
        </w:tcPr>
        <w:p>
          <w:pPr>
            <w:spacing w:line="235"/>
            <w:jc w:val="center"/>
          </w:pPr>
          <w:r>
            <w:rPr>
              <w:rFonts w:ascii="標楷體" w:cs="標楷體" w:eastAsia="標楷體" w:hAnsi="標楷體"/>
              <w:b/>
              <w:bCs/>
              <w:sz w:val="20"/>
              <w:szCs w:val="20"/>
            </w:rPr>
            <w:t xml:space="preserve">所屬單位</w:t>
          </w:r>
        </w:p>
      </w:tc>
      <w:tc>
        <w:tcPr>
          <w:tcW w:type="dxa" w:w="3000"/>
          <w:tcMar>
            <w:top w:type="dxa" w:w="40"/>
            <w:left w:type="dxa" w:w="70"/>
            <w:bottom w:type="dxa" w:w="40"/>
            <w:right w:type="dxa" w:w="70"/>
          </w:tcMar>
          <w:vAlign w:val="center"/>
        </w:tcPr>
        <w:p>
          <w:pPr>
            <w:spacing w:line="235"/>
            <w:jc w:val="center"/>
          </w:pPr>
          <w:r>
            <w:rPr>
              <w:rFonts w:ascii="標楷體" w:cs="標楷體" w:eastAsia="標楷體" w:hAnsi="標楷體"/>
              <w:b w:val="false"/>
              <w:bCs w:val="false"/>
              <w:sz w:val="20"/>
              <w:szCs w:val="20"/>
            </w:rPr>
            <w:t xml:space="preserve">總務部</w:t>
          </w:r>
        </w:p>
      </w:tc>
    </w:tr>
  </w:tbl>
  <w:p>
    <w:pPr>
      <w:spacing w:after="0" w:line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標楷體" w:cs="標楷體" w:eastAsia="標楷體" w:hAnsi="標楷體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be8f6918e6803fd512c8b9a151829a1c0fa5dbcf.jpg"/><Relationship Id="rId11" Type="http://schemas.openxmlformats.org/officeDocument/2006/relationships/image" Target="media/25c71220e635b7900fd3ac54abc05fa4f443cf6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2026-08-07T12:40:54.062Z</dcterms:created>
  <dcterms:modified xsi:type="dcterms:W3CDTF">2026-08-07T12:40:54.063Z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