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161925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/>
        <w:jc w:val="center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光田醫療社團法人　光田綜合醫院</w:t>
      </w:r>
    </w:p>
    <w:p>
      <w:pPr>
        <w:spacing w:after="100"/>
        <w:jc w:val="center"/>
      </w:pPr>
      <w:r>
        <w:rPr>
          <w:rFonts w:ascii="標楷體" w:cs="標楷體" w:eastAsia="標楷體" w:hAnsi="標楷體"/>
          <w:b/>
          <w:bCs/>
          <w:sz w:val="30"/>
          <w:szCs w:val="30"/>
        </w:rPr>
        <w:t xml:space="preserve">ISO 50001 能源管理系統</w:t>
      </w:r>
    </w:p>
    <w:p>
      <w:pPr>
        <w:spacing w:after="760"/>
        <w:jc w:val="center"/>
      </w:pPr>
      <w:r>
        <w:rPr>
          <w:rFonts w:ascii="標楷體" w:cs="標楷體" w:eastAsia="標楷體" w:hAnsi="標楷體"/>
          <w:b/>
          <w:bCs/>
          <w:sz w:val="44"/>
          <w:szCs w:val="44"/>
        </w:rPr>
        <w:t xml:space="preserve">能 源 審 查 程 序 書</w:t>
      </w: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0"/>
        <w:gridCol w:w="4512"/>
        <w:gridCol w:w="1600"/>
        <w:gridCol w:w="1200"/>
      </w:tblGrid>
      <w:tr>
        <w:tc>
          <w:tcPr>
            <w:tcW w:type="dxa" w:w="10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版次</w:t>
            </w:r>
          </w:p>
        </w:tc>
        <w:tc>
          <w:tcPr>
            <w:tcW w:type="dxa" w:w="4512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修改摘要</w:t>
            </w:r>
          </w:p>
        </w:tc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新增（共 8 頁）－依衛生福利部114年綠色醫療永續規劃暨教育訓練補助計畫制定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115年03月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80"/>
      </w:pP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200"/>
        <w:gridCol w:w="2512"/>
      </w:tblGrid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□品質手冊　　■作業程序書</w:t>
            </w:r>
          </w:p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□作業指導書　□組織章程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文件編號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1D10ATP0048-(01)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機密等級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□機密　■內部使用　□一般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制定日期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115年03月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部科類別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□委員會　□醫療類　□護理類</w:t>
            </w:r>
          </w:p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□醫技類　■行政類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制定單位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總務部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管制類別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■院內管制　　□部科室管制</w:t>
            </w:r>
          </w:p>
        </w:tc>
        <w:tc>
          <w:tcPr>
            <w:tcW w:type="dxa" w:w="1200"/>
            <w:vMerge w:val="restart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適用院區</w:t>
            </w:r>
          </w:p>
        </w:tc>
        <w:tc>
          <w:tcPr>
            <w:tcW w:type="dxa" w:w="2512"/>
            <w:vMerge w:val="restart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■沙鹿　■大甲　■長青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文件年限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□一年　　　　■二年</w:t>
            </w:r>
          </w:p>
        </w:tc>
        <w:tc>
          <w:tcPr>
            <w:tcW w:type="dxa" w:w="1200"/>
            <w:vMerge w:val="continue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2"/>
            <w:vMerge w:val="continue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800"/>
        <w:gridCol w:w="2504"/>
        <w:gridCol w:w="2504"/>
        <w:gridCol w:w="2504"/>
      </w:tblGrid>
      <w:tr>
        <w:tc>
          <w:tcPr>
            <w:tcW w:type="dxa" w:w="800"/>
            <w:vMerge w:val="restart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版　次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核　准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審　核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　定</w:t>
            </w:r>
          </w:p>
        </w:tc>
      </w:tr>
      <w:tr>
        <w:tc>
          <w:tcPr>
            <w:tcW w:type="dxa" w:w="800"/>
            <w:vMerge w:val="continue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7"/>
                <w:szCs w:val="17"/>
              </w:rPr>
              <w:t xml:space="preserve">副院長（ISO 50001管理代表）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單位主管（總務部部長）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制定者（總務部）</w:t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1440" w:right="1797" w:bottom="1440" w:left="1797" w:header="720" w:footer="567" w:gutter="0"/>
          <w:pgNumType/>
          <w:docGrid w:linePitch="360"/>
        </w:sectPr>
      </w:pP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1.目　　的：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1.1 為建立本院能源審查之作業程序，透過對能源使用現況之調查、資料查核及必要之量測，分析本院能源使用與能源消耗狀況，鑑別重大能源使用(Significant Energy Use, SEU)及能源績效改進機會，特訂定本程序書。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1.2 依能源審查結果建立能源基準(能源基線EnB)及能源績效指標(EnPI)，作為本院能源績效比較與考核之依據，據以持續改進能源績效。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1.3 本程序書依 ISO 50001:2018 能源管理系統－附使用指引之要求事項條款 6.3 能源審查、6.4 能源績效指標及 6.5 能源基線訂定。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2.適用範圍：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2.1 本院沙鹿院區、大甲院區及長青院區，於醫療活動與服務中有關能源使用、能源消耗及能源效率之事項均屬之。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2.2 能源型式：電力、天然氣、柴油（含緊急發電機）、汽油（公務車輛）及其他經能源審查鑑別之能源。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2.3 適用對象：能源管理盤查小組全體成員，及本院各能源使用單位。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3.名詞解釋：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3.1 能源(Energy)：本院使用之電力、燃料、蒸氣、熱、壓縮空氣、再生能源及其他介質。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3.2 能源使用(Energy Use)：能源之應用途徑或方式，如通風、照明、空調、加熱、冷卻及醫療作業過程。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3.3 能源消耗(Energy Consumption)：所使用能源之量。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3.4 重大能源使用(Significant Energy Use, SEU)：占本院能源消耗顯著比率，或具能源績效改進顯著潛力之能源使用。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3.5 能源審查(Energy Review)：依據量測及其他資料，決定本院能源績效，並鑑別能源績效改進機會之作業。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3.6 能源基準(能源基線EnB)：作為能源績效比較基礎之量化參考。本院採 114 年全年資料建立。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3.7 能源績效指標(EnPI)：本院所界定用以量測及監督能源績效之量化值或量測方式。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3.8 相關變數(Relevant Variable)：對能源績效具例行性影響之可量化因素，如門診人數、住院人日數、外氣溫度。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3.9 靜態因子(Static Factor)：對能源績效具影響但不例行變動之因素，如樓地板面積、營運項目、設備配置。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3.10 正規化(Normalization)：為使不同條件下之資料具可比較性，依相關變數所為之修正。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3.11 能源管理盤查小組：本院依 ISO 50001:2018 條款 5.3 設置之能源管理團隊，其編制與職責依 1D10CTC5001 能源管理盤查小組組織章程暨職責說明辦理。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4.相關文件：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4.1 1D10ATQ0001 能源管理手冊。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4.2 1D10CTC5001 能源管理盤查小組組織章程暨職責說明。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4.3 1D10ATP0066 能源管理目標與方案管理程序書。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4.4 1D10ATP0046 能源系統監督與量測管理程序書。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4.5 1D10ATP0051 能源法規鑑別與符合性查核程序書。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4.6 1D10ATP0059 組織背景及風險管理程序。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4.7 1D10ATP0050 能源系統變更管理程序書。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4.8 0220ATP0001 文件制定與管制作業辦法。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4.9 能源管理法及其相關子法。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5.權　　責：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5.1 ISO 50001管理代表：核定能源審查之範圍與期程；核定重大能源使用之鑑別結果、能源基準(能源基線EnB)及能源績效指標(EnPI)；督導能源績效改進機會之落實。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5.2 能源管理盤查小組：審議能源審查結果；鑑別重大能源使用與能源績效改進機會，並決定其優先順序；確認能源基準與能源績效指標之建立、維護及重新設定。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 總務部（執行秘書）：統籌能源審查作業之規劃與執行；彙整全院能源數據；編製能源基準報告與能源績效指標報告；保存能源審查之文件化資訊。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5.4 工務課：蒐集並提供照明、空調、電力、鍋爐及其他動力系統之能源使用與消耗數據；執行能源之量測與抄錶；提供設備規格、運轉時數及維護保養紀錄。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5.5 醫工課：提供醫療儀器設備之規格、額定功率、運轉時數及汰換規劃資料。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5.6 資訊部：提供機房及資通訊設備之能源使用數據；維運能源數據 E 化蒐集與智能 AI 監控系統。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5.7 各能源使用單位：依規定週期提供所屬單位之能源使用資料與相關變數數據，並確保其正確性與完整性；配合能源績效改進機會之現場查證。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6.內　　容：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 能源審查之規劃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6.1.1 本院能源審查每年至少辦理一次，由總務部提出審查計畫，經 ISO 50001管理代表核定後實施。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6.1.2 有下列情形之一者，應辦理能源審查之更新：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6.1.2.1 重大能源使用之設施、設備或系統發生新增、汰換、大修或停用。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6.1.2.2 醫療服務量、樓地板面積或營運項目發生顯著變動。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6.1.2.3 能源政策、能源目標或能源標的變更。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6.1.2.4 法規要求事項或其他要求事項變更。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6.1.3 能源審查之投入與產出如下表：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906"/>
      </w:tblGrid>
      <w:tr>
        <w:trPr>
          <w:tblHeader/>
        </w:trPr>
        <w:tc>
          <w:tcPr>
            <w:tcW w:type="dxa" w:w="24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39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9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來源／去向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投入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能源政策與目標、法規要求事項、能源來源、設備清單、操作與維護紀錄、儀錶數據、能源使用與運轉／財務資料、相關變數資料、前次能源審查結果</w:t>
            </w:r>
          </w:p>
        </w:tc>
        <w:tc>
          <w:tcPr>
            <w:tcW w:type="dxa" w:w="3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各能源使用單位、工務課、醫工課、資訊部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審查工具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能源審查鑑別與評估表、趨勢圖表、能耗占比平衡表、統計與迴歸分析、能源需求分析</w:t>
            </w:r>
          </w:p>
        </w:tc>
        <w:tc>
          <w:tcPr>
            <w:tcW w:type="dxa" w:w="3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總務部彙整、能源管理盤查小組審議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產出</w:t>
            </w:r>
          </w:p>
        </w:tc>
        <w:tc>
          <w:tcPr>
            <w:tcW w:type="dxa" w:w="3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重大能源使用清單、能源基準(能源基線EnB)、能源績效指標(EnPI)、能源績效改進機會及其優先順序</w:t>
            </w:r>
          </w:p>
        </w:tc>
        <w:tc>
          <w:tcPr>
            <w:tcW w:type="dxa" w:w="3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提送管理階層審查；轉化為目標、標的及行動計畫</w:t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 能源使用與能源消耗之分析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6.2.1 鑑別本院目前之能源來源，蒐集下列資料：電費單、天然氣費單、油料領用紀錄、空調設備使用紀錄表、重大用電數位監控資料。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 評估過去與現在之能源使用與能源消耗，運用公用設備耗能概況表及主要設施耗能紀錄表，分析下列事項：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6.2.2.1 各類能源之消耗量及其趨勢。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6.2.2.2 變更及異常現象。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6.2.2.3 下一期間能源使用量之預估。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6.2.2.4 現行能源來源之查核，及其他潛在能源來源（含再生能源）之評估。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6.2.3 熱值換算基準：各類能源依下列基準換算為熱值，電力並依經濟部能源署最新公告係數換算二氧化碳排放量。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606"/>
      </w:tblGrid>
      <w:tr>
        <w:trPr>
          <w:tblHeader/>
        </w:trPr>
        <w:tc>
          <w:tcPr>
            <w:tcW w:type="dxa" w:w="30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能源別</w:t>
            </w:r>
          </w:p>
        </w:tc>
        <w:tc>
          <w:tcPr>
            <w:tcW w:type="dxa" w:w="3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熱值換算基準</w:t>
            </w:r>
          </w:p>
        </w:tc>
        <w:tc>
          <w:tcPr>
            <w:tcW w:type="dxa" w:w="36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電力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 度電 ＝ 860 kcal</w:t>
            </w:r>
          </w:p>
        </w:tc>
        <w:tc>
          <w:tcPr>
            <w:tcW w:type="dxa" w:w="36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以耗電功率或額定功率計算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汽油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 公升 ＝ 7,800 kcal</w:t>
            </w:r>
          </w:p>
        </w:tc>
        <w:tc>
          <w:tcPr>
            <w:tcW w:type="dxa" w:w="36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以基本用量（日均值或月均值）計算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柴油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 公升 ＝ 8,400 kcal</w:t>
            </w:r>
          </w:p>
        </w:tc>
        <w:tc>
          <w:tcPr>
            <w:tcW w:type="dxa" w:w="36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以基本用量（日均值或月均值）計算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天然氣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 立方公尺 ＝ 8,000 kcal</w:t>
            </w:r>
          </w:p>
        </w:tc>
        <w:tc>
          <w:tcPr>
            <w:tcW w:type="dxa" w:w="36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以基本用量（日均值或月均值）計算</w:t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6.2.4 能耗熱值計算公式：能耗熱值 ＝〔（耗電功率或額定功率）× 熱值係數〕× 運轉數量 × 使用時間。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6.2.5 依前項計算結果，建立能耗分析占比平衡表，區分設施、設備、系統及流程類別，據以分析本院各項目前績效。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 重大能源使用(SEU)之鑑別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6.3.1 依 6.2 之分析結果，透過能耗占比平衡表篩選重大能源使用與消耗之主系統或區域，再展開至各階層之子系統、區域、設備、設施及流程。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6.3.2 運用「能源審查鑑別與評估表」進行顯著性評估，其評估指數如下：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6.3.2.1 運轉指數（A）：依每日運轉時間級距評定。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5206"/>
      </w:tblGrid>
      <w:tr>
        <w:trPr>
          <w:tblHeader/>
        </w:trPr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指數</w:t>
            </w:r>
          </w:p>
        </w:tc>
        <w:tc>
          <w:tcPr>
            <w:tcW w:type="dxa" w:w="34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每日運轉時間（小時）</w:t>
            </w:r>
          </w:p>
        </w:tc>
        <w:tc>
          <w:tcPr>
            <w:tcW w:type="dxa" w:w="52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 以下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運轉時間愈長，指數愈高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 ～ 5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 ～ 8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8 ～ 11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11 ～ 14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14 ～ 17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17 ～ 20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20 ～ 23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23 ～ 24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24（全日連續運轉）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6.3.2.2 能耗級距指數（B）：依總能耗熱值級距評定。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5206"/>
      </w:tblGrid>
      <w:tr>
        <w:trPr>
          <w:tblHeader/>
        </w:trPr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指數</w:t>
            </w:r>
          </w:p>
        </w:tc>
        <w:tc>
          <w:tcPr>
            <w:tcW w:type="dxa" w:w="34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總能耗（熱值）級距</w:t>
            </w:r>
          </w:p>
        </w:tc>
        <w:tc>
          <w:tcPr>
            <w:tcW w:type="dxa" w:w="52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 ～ 500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本指數於顯著性公式中加權 5 倍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501 ～ 1,000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1,001 ～ 1,500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1,501 ～ 3,000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3,001 ～ 5,000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5,001 ～ 7,000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7,001 ～ 9,000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9,001 ～ 11,000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11,001 ～ 13,000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13,001 以上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6.3.2.3 設備老化指數（C）：設備老化程度以設備使用時間換算為年限（以每日 24 小時為換算基準）。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5206"/>
      </w:tblGrid>
      <w:tr>
        <w:trPr>
          <w:tblHeader/>
        </w:trPr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指數</w:t>
            </w:r>
          </w:p>
        </w:tc>
        <w:tc>
          <w:tcPr>
            <w:tcW w:type="dxa" w:w="34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設備老化程度（年）</w:t>
            </w:r>
          </w:p>
        </w:tc>
        <w:tc>
          <w:tcPr>
            <w:tcW w:type="dxa" w:w="52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1.00 以下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應每年重新計算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1.01 ～ 4.00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4.01 ～ 7.00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7.01 ～ 10.00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10.01 ～ 13.00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13.01 ～ 16.00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16.01 ～ 19.00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19.01 ～ 21.00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21.01 ～ 24.00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24.01 以上</w:t>
            </w:r>
          </w:p>
        </w:tc>
        <w:tc>
          <w:tcPr>
            <w:tcW w:type="dxa" w:w="52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6.3.2.4 相關變數評分指數（D）：先就下列相關變數逐項評分，加總後依級距換算指數。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700"/>
        <w:gridCol w:w="1906"/>
      </w:tblGrid>
      <w:tr>
        <w:trPr>
          <w:tblHeader/>
        </w:trPr>
        <w:tc>
          <w:tcPr>
            <w:tcW w:type="dxa" w:w="3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相關變數</w:t>
            </w:r>
          </w:p>
        </w:tc>
        <w:tc>
          <w:tcPr>
            <w:tcW w:type="dxa" w:w="17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影響高</w:t>
            </w:r>
          </w:p>
        </w:tc>
        <w:tc>
          <w:tcPr>
            <w:tcW w:type="dxa" w:w="17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影響中</w:t>
            </w:r>
          </w:p>
        </w:tc>
        <w:tc>
          <w:tcPr>
            <w:tcW w:type="dxa" w:w="17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影響低</w:t>
            </w:r>
          </w:p>
        </w:tc>
        <w:tc>
          <w:tcPr>
            <w:tcW w:type="dxa" w:w="19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不影響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門診人數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住院人日數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外氣溫度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維護保養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人員操作習慣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0" w:line="240"/>
        <w:ind w:left="144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室內通風良好且溫度適宜者，外氣溫度一項評 0 分。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406"/>
      </w:tblGrid>
      <w:tr>
        <w:trPr>
          <w:tblHeader/>
        </w:trPr>
        <w:tc>
          <w:tcPr>
            <w:tcW w:type="dxa" w:w="24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相關變數得分總和</w:t>
            </w:r>
          </w:p>
        </w:tc>
        <w:tc>
          <w:tcPr>
            <w:tcW w:type="dxa" w:w="34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相關變數指數（D）</w:t>
            </w:r>
          </w:p>
        </w:tc>
        <w:tc>
          <w:tcPr>
            <w:tcW w:type="dxa" w:w="44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 分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本指數於顯著性公式中加權 5 倍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 ～ 5 分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 ～ 10 分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11 ～ 15 分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16 ～ 20 分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21 ～ 25 分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4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6.3.2.5 顯著性指數（E）之計算：</w:t>
      </w:r>
    </w:p>
    <w:p>
      <w:pPr>
        <w:spacing w:after="80" w:before="80"/>
        <w:jc w:val="center"/>
      </w:pPr>
      <w:r>
        <w:rPr>
          <w:rFonts w:ascii="標楷體" w:cs="標楷體" w:eastAsia="標楷體" w:hAnsi="標楷體"/>
          <w:b/>
          <w:bCs/>
          <w:sz w:val="26"/>
          <w:szCs w:val="26"/>
        </w:rPr>
        <w:t xml:space="preserve">顯著性指數（E）＝ A ＋ B × 5 ＋ C ＋ D × 5</w:t>
      </w:r>
    </w:p>
    <w:p>
      <w:pPr>
        <w:keepNext w:val="false"/>
        <w:spacing w:after="0" w:before="0" w:line="240"/>
        <w:ind w:left="144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最高顯著性指數 ＝ 10 ＋ 10×5 ＋ 10 ＋ 10×5 ＝ 120。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6.3.3 重大能源使用之判定：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6.3.3.1 依熱值及占比排序判定：依全院耗能設施、設備之熱值及占比排序，耗能占比達 1.0% 以上者，判定為重大能源使用。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6.3.3.2 依顯著性指數級別判定：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006"/>
      </w:tblGrid>
      <w:tr>
        <w:trPr>
          <w:tblHeader/>
        </w:trPr>
        <w:tc>
          <w:tcPr>
            <w:tcW w:type="dxa" w:w="2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級別</w:t>
            </w:r>
          </w:p>
        </w:tc>
        <w:tc>
          <w:tcPr>
            <w:tcW w:type="dxa" w:w="2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顯著性指數（E）</w:t>
            </w:r>
          </w:p>
        </w:tc>
        <w:tc>
          <w:tcPr>
            <w:tcW w:type="dxa" w:w="50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高顯著性（高風險）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90 以上</w:t>
            </w:r>
          </w:p>
        </w:tc>
        <w:tc>
          <w:tcPr>
            <w:tcW w:type="dxa" w:w="5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列為重大能源使用，優先納入能源績效改進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中顯著性（中風險）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35 ～ 89</w:t>
            </w:r>
          </w:p>
        </w:tc>
        <w:tc>
          <w:tcPr>
            <w:tcW w:type="dxa" w:w="5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列為重大能源使用，視資源排定改進期程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低顯著性（低風險）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34 以下</w:t>
            </w:r>
          </w:p>
        </w:tc>
        <w:tc>
          <w:tcPr>
            <w:tcW w:type="dxa" w:w="50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列入常態監控</w:t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6.3.3.3 符合 6.3.3.1 或 6.3.3.2 任一者，即列為重大能源使用。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 能源績效改進機會之鑑別與優先順序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6.4.1 經顯著性評估後，應鑑別能源績效改進機會之可行性與改善潛在性，並記錄相關資訊。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6.4.2 改善潛在指數之評估項目與評分如下表；本指數採各項加總計算，最高 50 分。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600"/>
        <w:gridCol w:w="1806"/>
      </w:tblGrid>
      <w:tr>
        <w:trPr>
          <w:tblHeader/>
        </w:trPr>
        <w:tc>
          <w:tcPr>
            <w:tcW w:type="dxa" w:w="3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評估項目</w:t>
            </w:r>
          </w:p>
        </w:tc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需要</w:t>
            </w:r>
          </w:p>
        </w:tc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普通</w:t>
            </w:r>
          </w:p>
        </w:tc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低</w:t>
            </w:r>
          </w:p>
        </w:tc>
        <w:tc>
          <w:tcPr>
            <w:tcW w:type="dxa" w:w="18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1. 需要原廠技術支援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2. 需要外界專家評估改善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3. 影響日常進度管控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4. 法規或主管機關要求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5. 資格訓練要求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6. 自有技術能力主導性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7. 節能操作規範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8. 需要專用能耗儀錶監控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9. 列入專案改善中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10. 財務面負擔層面評估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0" w:line="240"/>
        <w:ind w:left="144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第 1、2、6、10 項為反向計分：本院自有能力愈高、財務負擔愈低者得分愈高。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6.4.3 改善潛在指數之判定：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tblHeader/>
        </w:trPr>
        <w:tc>
          <w:tcPr>
            <w:tcW w:type="dxa" w:w="2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改善潛在指數</w:t>
            </w:r>
          </w:p>
        </w:tc>
        <w:tc>
          <w:tcPr>
            <w:tcW w:type="dxa" w:w="76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判定與處理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32 分以上</w:t>
            </w:r>
          </w:p>
        </w:tc>
        <w:tc>
          <w:tcPr>
            <w:tcW w:type="dxa" w:w="76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改善即時性強，列入能源改善標的，依 1D10ATP0066 訂定行動計畫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20 ～ 31 分</w:t>
            </w:r>
          </w:p>
        </w:tc>
        <w:tc>
          <w:tcPr>
            <w:tcW w:type="dxa" w:w="76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改善即時性普通，列入常態監控，並視資源排入中長期改善期程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19 分以下</w:t>
            </w:r>
          </w:p>
        </w:tc>
        <w:tc>
          <w:tcPr>
            <w:tcW w:type="dxa" w:w="76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改善即時性低，列入常態監控</w:t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6.4.4 經鑑別之改善機會，非本院技術能力所能評估者，得委由設備供應商或外部專家提供改善意見。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6.4.5 改善機會之優先順序，由能源管理盤查小組會議審議決定，並提報管理階層審查。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6.4.6 優先順序之調整時機：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6.4.6.1 年度顯著性指數改善計畫完成時。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6.4.6.2 每年重新計算設備老化指數（C）後。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6.4.6.3 前二款情形影響能源績效之目標、標的與行動計畫時，應依 1D10ATP0066 辦理變更，並提報管理階層審查。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 能源基準(能源基線EnB)之建立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6.5.1 本院能源基準採 114 年全年資料建立；115 年 1 月至 7 月為績效比對期，逐月彙整並經能源管理盤查小組會議確認。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 建立步驟：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6.5.2.1 確立本院能源類別（電力、天然氣、柴油、汽油等）。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6.5.2.2 依 6.2.3 及 6.2.4 計算各設施、設備、系統、流程之耗能理論規格值，再以全院總計耗能理論規格值分配至各單項，得出理論占比（%）。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6.5.2.3 盤查各單項之耗能量並換算為二氧化碳排放量，電力及各類燃料均依經濟部能源署最新公告係數換算。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6.5.2.4 盤點實際運轉數量，並依實際使用或推估方式訂定使用時間（日或月）。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6.5.2.5 依上述資料完成能源盤查表，分析全院能源績效，於指定週期得出能源基準。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6.5.3 資料蒐集分工：各能源使用單位依「能源使用關鍵係數量測監控規劃表」所定週期蒐集資料，提送能源管理盤查小組分析與鑑別：</w:t>
      </w:r>
    </w:p>
    <w:p>
      <w:pPr>
        <w:spacing w:after="0" w:before="0" w:line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400"/>
        <w:gridCol w:w="7806"/>
      </w:tblGrid>
      <w:tr>
        <w:trPr>
          <w:tblHeader/>
        </w:trPr>
        <w:tc>
          <w:tcPr>
            <w:tcW w:type="dxa" w:w="24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單位</w:t>
            </w:r>
          </w:p>
        </w:tc>
        <w:tc>
          <w:tcPr>
            <w:tcW w:type="dxa" w:w="7806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蒐集項目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工務課</w:t>
            </w:r>
          </w:p>
        </w:tc>
        <w:tc>
          <w:tcPr>
            <w:tcW w:type="dxa" w:w="7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照明、空調、事務設備、其他動力系統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醫工課</w:t>
            </w:r>
          </w:p>
        </w:tc>
        <w:tc>
          <w:tcPr>
            <w:tcW w:type="dxa" w:w="7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醫療儀器設備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資訊部</w:t>
            </w:r>
          </w:p>
        </w:tc>
        <w:tc>
          <w:tcPr>
            <w:tcW w:type="dxa" w:w="780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5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電腦、機房及資通訊設施</w:t>
            </w:r>
          </w:p>
        </w:tc>
      </w:tr>
    </w:tbl>
    <w:p>
      <w:pPr>
        <w:spacing w:after="0" w:before="0" w:line="120"/>
      </w:pP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 能源績效指標(EnPI)之建立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6.6.1 能源管理盤查小組依各單位提送之「能源使用關鍵係數量測監控規劃表」資料，及「能源規劃與能源績效指標總表」所定義之計算公式，計算能源績效指標。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6.6.2 醫院別績效指標：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6.6.2.1 依資料計算月度平均值。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6.6.2.2 由月度平均值分析並繪製年度趨勢圖。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6.6.2.3 由年度各月平均值加總後均化，依能源政策標的訂定次年度績效指標。</w:t>
      </w:r>
    </w:p>
    <w:p>
      <w:pPr>
        <w:keepNext w:val="false"/>
        <w:spacing w:after="0" w:before="0" w:line="240"/>
        <w:ind w:left="144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計算範例：115 年績效指標 ＝ 114 年平均總能源消耗值 × 0.99（依能源目標「每年降低醫院總電力消耗 1%」）。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6.6.3 功能別績效指標：就重大能源使用之系統別，以「能源使用關鍵係數量測監控規劃表」之主要關鍵特性，運用相關迴歸手法訂定；其線性關係 R² 應達 0.75 以上。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 能源相關係數績效指標：本院服務人數多寡影響各項設施設備使用量，爰以住院人日數及門診人數之占比推估，計算方式如下：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6.6.4.1 門診占比 ＝ 醫院門診總面積 ÷ 醫院總面積。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6.6.4.2 住院人日數占比 ＝ 100% － 門診占比。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6.6.4.3 能源相關係數績效指標 ＝ 單月總耗能 ÷（單月住院人日數 × 住院人日數占比 ＋ 單月門診人數 × 門診占比）。</w:t>
      </w:r>
    </w:p>
    <w:p>
      <w:pPr>
        <w:keepNext w:val="false"/>
        <w:spacing w:after="0" w:before="0" w:line="240"/>
        <w:ind w:left="144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範例：門診總面積 3,500 m²、醫院總面積 17,500 m²，門診占比 ＝ 20%，住院人日數占比 ＝ 80%；指標 ＝ 單月總耗能 ÷（單月住院人日數 × 80% ＋ 單月門診人數 × 20%）。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6.6.5 前三款績效指標之檢討，於能源管理盤查小組定期會議及管理階層審查中辦理。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 能源基準與能源績效指標之維護及重新設定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6.7.1 維護權責：由 ISO 50001管理代表督導，能源管理盤查小組執行；數據之收集與彙整由總務部工務課辦理，數據之分析與管理由能源管理盤查小組辦理。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6.7.2 維護週期：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6.7.2.1 月度：各能源使用單位收集並彙整數據，提送能源管理盤查小組確認。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6.7.2.2 年度：依上年度基礎設定與修訂管制界線。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6.7.3 能源基準重新設定之時機：發生下列情形，致影響能源基準設定基礎者，應重新制定能源基準，並記錄其理由：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6.7.3.1 設計變更或製程參數改變，影響計算公式時。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6.7.3.2 大修或更換重大能源使用之零組件時。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6.7.3.3 流程改善或工序變動時。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6.7.3.4 新增作業流程或新設施啟用時。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6.7.3.5 靜態因子發生顯著變動時。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6.7.4 能源績效指標更新之時機：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6.7.4.1 能源政策更新時。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6.7.4.2 設定指標之能源設施或系統發生大修、更換時。</w:t>
      </w:r>
    </w:p>
    <w:p>
      <w:pPr>
        <w:keepNext w:val="false"/>
        <w:spacing w:after="0" w:before="0" w:line="240"/>
        <w:ind w:left="120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6.7.4.3 目標、標的、行動計畫改善後，原指標不足以反映評比時。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6.7.5 正規化：當相關變數發生變動致能源績效不具可比較性時，應依相關變數進行正規化修正後再行比較，其修正方法及理由應保存為文件化資訊。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 能源審查結果之運用與銜接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6.8.1 能源基準建立後，應與所發生之能源績效趨勢比較，並與能源績效指標推移分析，藉以探知能源使用及能源消耗之未來趨勢與改善時機。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6.8.2 能源績效指標與能源基準比較之趨勢，應提供管理階層審查，依 1D10ATQ0001 能源管理手冊 6.6.5 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6.8.3 能源績效之量測與監督，依 1D10ATP0046 能源系統監督與量測管理程序書辦理。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6.8.4 改善之目標與能源標的，依 1D10ATP0066 能源管理目標與方案管理程序書辦理，並適切展現於能源基準與能源政策中。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6.8.5 能源法規與其他要求事項之鑑別，依 1D10ATP0051 能源法規鑑別與符合性查核程序書辦理，並參照經濟部能源署公布之最新版能源管理法。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6.8.6 能源審查或績效量測後，應將資訊轉換為中央主管機關所定之能源查核制度、節約能源目標及執行計畫，報請核備。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6.8.7 發生能源異常使用或消耗，能源績效表現單月超出同期能源績效指標 25% 時，應提出矯正措施，依 1D10ATQ0001 能源管理手冊 6.7.1 辦理。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6.8.8 能源審查或績效量測中需與內、外部溝通者，依 1D10ATQ0001 能源管理手冊 6.4.4 辦理。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 能源審查人員之資格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6.9.1 參與能源審查與鑑別之人員，應為能源管理盤查小組成員或其指派之代表。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6.9.2 高中職以上理工相關科系畢業，或具同等能源管理實務經驗。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6.9.3 參與能源管理內部訓練或外部訓練課程累計 6 小時以上。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6.9.4 前三款資格之認定與訓練紀錄，依 1D10CTC5001 能源管理盤查小組組織章程暨職責說明及本院教育訓練規定辦理，並保存為文件化資訊。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6.10 文件化資訊之保存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6.10.1 電子媒體之文件化資訊，應於相關電子媒體建立資料夾並以年度識別更新，必要時設置密碼與權限管制。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6.10.2 紙本文件化資訊保存年限為三年，並依 0220ATP0001 文件制定與管制作業辦法辦理管制。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7.流 程 圖：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7.1 能源審查作業流程如下圖。</w:t>
      </w:r>
    </w:p>
    <w:p>
      <w:pPr>
        <w:spacing w:after="100" w:before="100"/>
        <w:jc w:val="center"/>
      </w:pPr>
      <w:r>
        <w:drawing>
          <wp:inline distT="0" distB="0" distL="0" distR="0">
            <wp:extent cx="4191000" cy="579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8.稽核機制：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8.1 權責人員：內部稽核員。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8.2 稽核時機：每年至少一次，並於當年度管理階層審查前完成。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8.3 稽核工具：能源審查鑑別與評估表、能源規劃與能源績效指標總表、能源使用關鍵係數量測監控規劃表、能源管理盤查小組會議紀錄。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8.4 稽核重點：能源審查是否依規定頻率辦理及更新；重大能源使用之鑑別是否有評估紀錄可追溯；能源基準與能源績效指標之建立、維護及重新設定是否符合本程序書規定；改善機會之優先順序是否經能源管理盤查小組審議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9.記　　錄：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9.1 能源審查鑑別與評估表。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9.2 能源規劃與能源績效指標總表。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9.3 能源使用關鍵係數量測監控規劃表。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9.4 能源管理系統用電時數統計表。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9.5 能耗分析占比平衡表。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9.6 1D10ATF5003 能源基準(能源基線EnB)報告。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9.7 1D10ATF5004 能源績效指標(EnPI)報告。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9.8 前列記錄依 ISO 50001:2018 條款 7.5 保存為文件化資訊，並依 6.10 辦理。</w:t>
      </w:r>
    </w:p>
    <w:p>
      <w:pPr>
        <w:keepNext/>
        <w:spacing w:after="50" w:before="15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10.附　　件：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10.1 能源審查鑑別與評估表。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10.2 能源規劃與能源績效指標總表。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10.3 能源使用關鍵係數量測監控規劃表。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10.4 能源管理系統用電時數統計表。</w:t>
      </w:r>
    </w:p>
    <w:p>
      <w:pPr>
        <w:keepNext w:val="false"/>
        <w:spacing w:after="0" w:before="5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10.5 前列表單之編號，依 0220ATP0001 條款 6.2 以 19 碼表單編號管制，隨本程序書發行。</w:t>
      </w:r>
    </w:p>
    <w:sectPr>
      <w:headerReference w:type="default" r:id="rId8"/>
      <w:footerReference w:type="default" r:id="rId9"/>
      <w:pgSz w:w="11906" w:h="16838" w:orient="portrait"/>
      <w:pgMar w:top="850" w:right="850" w:bottom="850" w:left="850" w:header="40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8312"/>
      </w:tabs>
    </w:pPr>
    <w:r>
      <w:rPr>
        <w:rFonts w:ascii="標楷體" w:cs="標楷體" w:eastAsia="標楷體" w:hAnsi="標楷體"/>
        <w:b w:val="false"/>
        <w:bCs w:val="false"/>
        <w:sz w:val="18"/>
        <w:szCs w:val="18"/>
      </w:rPr>
      <w:t xml:space="preserve">光田綜合醫院文件，非經許可不得以任何方式翻製或複印</w:t>
    </w:r>
    <w:r>
      <w:tab/>
    </w:r>
    <w:r>
      <w:rPr>
        <w:rFonts w:ascii="標楷體" w:cs="標楷體" w:eastAsia="標楷體" w:hAnsi="標楷體"/>
        <w:b w:val="false"/>
        <w:bCs w:val="false"/>
        <w:sz w:val="20"/>
        <w:szCs w:val="20"/>
      </w:rPr>
      <w:t xml:space="preserve">文件發行章：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6"/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auto" w:sz="4"/>
        <w:insideV w:val="single" w:color="auto" w:sz="4"/>
      </w:tblBorders>
    </w:tblPr>
    <w:tblGrid>
      <w:gridCol w:w="1300"/>
      <w:gridCol w:w="4506"/>
      <w:gridCol w:w="1400"/>
      <w:gridCol w:w="3000"/>
    </w:tblGrid>
    <w:tr>
      <w:tc>
        <w:tcPr>
          <w:tcW w:type="dxa" w:w="13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文件名稱</w:t>
          </w:r>
        </w:p>
      </w:tc>
      <w:tc>
        <w:tcPr>
          <w:tcW w:type="dxa" w:w="4506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能源審查程序書</w:t>
          </w:r>
        </w:p>
      </w:tc>
      <w:tc>
        <w:tcPr>
          <w:tcW w:type="dxa" w:w="14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文件編號</w:t>
          </w:r>
        </w:p>
      </w:tc>
      <w:tc>
        <w:tcPr>
          <w:tcW w:type="dxa" w:w="3000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1D10ATP0048-(01)</w:t>
          </w:r>
        </w:p>
      </w:tc>
    </w:tr>
    <w:tr>
      <w:tc>
        <w:tcPr>
          <w:tcW w:type="dxa" w:w="1300"/>
          <w:vMerge w:val="restart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文件類別</w:t>
          </w:r>
        </w:p>
      </w:tc>
      <w:tc>
        <w:tcPr>
          <w:tcW w:type="dxa" w:w="4506"/>
          <w:vMerge w:val="restart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作　業　程　序　書</w:t>
          </w:r>
        </w:p>
      </w:tc>
      <w:tc>
        <w:tcPr>
          <w:tcW w:type="dxa" w:w="14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頁　　次</w:t>
          </w:r>
        </w:p>
      </w:tc>
      <w:tc>
        <w:tcPr>
          <w:tcW w:type="dxa" w:w="3000"/>
          <w:tcMar>
            <w:top w:type="dxa" w:w="50"/>
            <w:left w:type="dxa" w:w="80"/>
            <w:bottom w:type="dxa" w:w="50"/>
            <w:right w:type="dxa" w:w="80"/>
          </w:tcMar>
          <w:vAlign w:val="center"/>
        </w:tcPr>
        <w:p>
          <w:pPr>
            <w:jc w:val="center"/>
          </w:pPr>
          <w:r>
            <w:rPr>
              <w:rFonts w:ascii="標楷體" w:cs="標楷體" w:eastAsia="標楷體" w:hAnsi="標楷體"/>
              <w:sz w:val="20"/>
              <w:szCs w:val="20"/>
            </w:rPr>
            <w:t xml:space="preserve">第 </w:t>
            <w:fldChar w:fldCharType="begin"/>
            <w:instrText xml:space="preserve">PAGE</w:instrText>
            <w:fldChar w:fldCharType="separate"/>
            <w:fldChar w:fldCharType="end"/>
            <w:t xml:space="preserve"> 頁、共 8 頁</w:t>
          </w:r>
        </w:p>
      </w:tc>
    </w:tr>
    <w:tr>
      <w:tc>
        <w:tcPr>
          <w:tcW w:type="dxa" w:w="1300"/>
          <w:vMerge w:val="continue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left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/>
          </w:r>
        </w:p>
      </w:tc>
      <w:tc>
        <w:tcPr>
          <w:tcW w:type="dxa" w:w="4506"/>
          <w:vMerge w:val="continue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left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/>
          </w:r>
        </w:p>
      </w:tc>
      <w:tc>
        <w:tcPr>
          <w:tcW w:type="dxa" w:w="14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/>
              <w:bCs/>
              <w:sz w:val="20"/>
              <w:szCs w:val="20"/>
            </w:rPr>
            <w:t xml:space="preserve">所屬單位</w:t>
          </w:r>
        </w:p>
      </w:tc>
      <w:tc>
        <w:tcPr>
          <w:tcW w:type="dxa" w:w="3000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5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20"/>
              <w:szCs w:val="20"/>
            </w:rPr>
            <w:t xml:space="preserve">總務部</w:t>
          </w:r>
        </w:p>
      </w:tc>
    </w:tr>
  </w:tbl>
  <w:p>
    <w:pPr>
      <w:spacing w:after="0" w:lin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be8f6918e6803fd512c8b9a151829a1c0fa5dbcf.jpg"/><Relationship Id="rId11" Type="http://schemas.openxmlformats.org/officeDocument/2006/relationships/image" Target="media/21cad8f4a90f87ca03b9cc91e44ddd87d7c954f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2026-08-07T09:23:38.320Z</dcterms:created>
  <dcterms:modified xsi:type="dcterms:W3CDTF">2026-08-07T09:23:38.321Z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