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61925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333375"/>
                    </a:xfrm>
                    <a:prstGeom prst="rect">
                      <a:avLst/>
                    </a:prstGeom>
                  </pic:spPr>
                </pic:pic>
              </a:graphicData>
            </a:graphic>
          </wp:inline>
        </w:drawing>
      </w:r>
    </w:p>
    <w:p>
      <w:pPr>
        <w:spacing w:after="700"/>
        <w:jc w:val="center"/>
      </w:pPr>
      <w:r>
        <w:rPr>
          <w:rFonts w:ascii="標楷體" w:cs="標楷體" w:eastAsia="標楷體" w:hAnsi="標楷體"/>
          <w:b/>
          <w:bCs/>
          <w:sz w:val="28"/>
          <w:szCs w:val="28"/>
        </w:rPr>
        <w:t xml:space="preserve">光田醫療社團法人　光田綜合醫院</w:t>
      </w:r>
    </w:p>
    <w:p>
      <w:pPr>
        <w:spacing w:after="100"/>
        <w:jc w:val="center"/>
      </w:pPr>
      <w:r>
        <w:rPr>
          <w:rFonts w:ascii="標楷體" w:cs="標楷體" w:eastAsia="標楷體" w:hAnsi="標楷體"/>
          <w:b/>
          <w:bCs/>
          <w:sz w:val="30"/>
          <w:szCs w:val="30"/>
        </w:rPr>
        <w:t xml:space="preserve">ISO 50001 能源管理系統</w:t>
      </w:r>
    </w:p>
    <w:p>
      <w:pPr>
        <w:spacing w:after="760"/>
        <w:jc w:val="center"/>
      </w:pPr>
      <w:r>
        <w:rPr>
          <w:rFonts w:ascii="標楷體" w:cs="標楷體" w:eastAsia="標楷體" w:hAnsi="標楷體"/>
          <w:b/>
          <w:bCs/>
          <w:sz w:val="34"/>
          <w:szCs w:val="34"/>
        </w:rPr>
        <w:t xml:space="preserve">能源法規鑑別與符合性查核程序書</w:t>
      </w:r>
    </w:p>
    <w:tbl>
      <w:tblPr>
        <w:tblW w:type="dxa" w:w="8312"/>
        <w:tblBorders>
          <w:top w:val="single" w:color="000000" w:sz="4"/>
          <w:left w:val="single" w:color="000000" w:sz="4"/>
          <w:bottom w:val="single" w:color="000000" w:sz="4"/>
          <w:right w:val="single" w:color="000000" w:sz="4"/>
          <w:insideH w:val="single" w:color="auto" w:sz="4"/>
          <w:insideV w:val="single" w:color="auto" w:sz="4"/>
        </w:tblBorders>
      </w:tblPr>
      <w:tblGrid>
        <w:gridCol w:w="1000"/>
        <w:gridCol w:w="4512"/>
        <w:gridCol w:w="1600"/>
        <w:gridCol w:w="1200"/>
      </w:tblGrid>
      <w:tr>
        <w:tc>
          <w:tcPr>
            <w:tcW w:type="dxa" w:w="10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版次</w:t>
            </w:r>
          </w:p>
        </w:tc>
        <w:tc>
          <w:tcPr>
            <w:tcW w:type="dxa" w:w="4512"/>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修改摘要</w:t>
            </w:r>
          </w:p>
        </w:tc>
        <w:tc>
          <w:tcPr>
            <w:tcW w:type="dxa" w:w="16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日期</w:t>
            </w:r>
          </w:p>
        </w:tc>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備註</w:t>
            </w:r>
          </w:p>
        </w:tc>
      </w:tr>
      <w:tr>
        <w:tc>
          <w:tcPr>
            <w:tcW w:type="dxa" w:w="10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2"/>
                <w:szCs w:val="22"/>
              </w:rPr>
              <w:t xml:space="preserve">第一版</w:t>
            </w:r>
          </w:p>
        </w:tc>
        <w:tc>
          <w:tcPr>
            <w:tcW w:type="dxa" w:w="4512"/>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新增（共 6 頁）－依衛生福利部114年綠色醫療永續規劃暨教育訓練補助計畫制定</w:t>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2"/>
                <w:szCs w:val="22"/>
              </w:rPr>
              <w:t xml:space="preserve">115年03月</w:t>
            </w:r>
          </w:p>
        </w:tc>
        <w:tc>
          <w:tcPr>
            <w:tcW w:type="dxa" w:w="12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420" w:hRule="atLeast"/>
        </w:trPr>
        <w:tc>
          <w:tcPr>
            <w:tcW w:type="dxa" w:w="10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2"/>
                <w:szCs w:val="22"/>
              </w:rPr>
              <w:t xml:space="preserve">第二版</w:t>
            </w:r>
          </w:p>
        </w:tc>
        <w:tc>
          <w:tcPr>
            <w:tcW w:type="dxa" w:w="4512"/>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2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420" w:hRule="atLeast"/>
        </w:trPr>
        <w:tc>
          <w:tcPr>
            <w:tcW w:type="dxa" w:w="10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2"/>
                <w:szCs w:val="22"/>
              </w:rPr>
              <w:t xml:space="preserve">第三版</w:t>
            </w:r>
          </w:p>
        </w:tc>
        <w:tc>
          <w:tcPr>
            <w:tcW w:type="dxa" w:w="4512"/>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2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bl>
    <w:p>
      <w:pPr>
        <w:spacing w:after="480"/>
      </w:pPr>
    </w:p>
    <w:tbl>
      <w:tblPr>
        <w:tblW w:type="dxa" w:w="8312"/>
        <w:tblBorders>
          <w:top w:val="single" w:color="000000" w:sz="4"/>
          <w:left w:val="single" w:color="000000" w:sz="4"/>
          <w:bottom w:val="single" w:color="000000" w:sz="4"/>
          <w:right w:val="single" w:color="000000" w:sz="4"/>
          <w:insideH w:val="single" w:color="auto" w:sz="4"/>
          <w:insideV w:val="single" w:color="auto" w:sz="4"/>
        </w:tblBorders>
      </w:tblPr>
      <w:tblGrid>
        <w:gridCol w:w="1200"/>
        <w:gridCol w:w="3400"/>
        <w:gridCol w:w="1200"/>
        <w:gridCol w:w="2512"/>
      </w:tblGrid>
      <w:tr>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文件類別</w:t>
            </w:r>
          </w:p>
        </w:tc>
        <w:tc>
          <w:tcPr>
            <w:tcW w:type="dxa" w:w="34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□品質手冊　　■作業程序書</w:t>
            </w:r>
          </w:p>
          <w:p>
            <w:pPr>
              <w:spacing w:line="235"/>
              <w:jc w:val="left"/>
            </w:pPr>
            <w:r>
              <w:rPr>
                <w:rFonts w:ascii="標楷體" w:cs="標楷體" w:eastAsia="標楷體" w:hAnsi="標楷體"/>
                <w:b w:val="false"/>
                <w:bCs w:val="false"/>
                <w:sz w:val="20"/>
                <w:szCs w:val="20"/>
              </w:rPr>
              <w:t xml:space="preserve">□作業指導書　□組織章程</w:t>
            </w:r>
          </w:p>
        </w:tc>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文件編號</w:t>
            </w:r>
          </w:p>
        </w:tc>
        <w:tc>
          <w:tcPr>
            <w:tcW w:type="dxa" w:w="2512"/>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1D10ATP0051-(01)</w:t>
            </w:r>
          </w:p>
        </w:tc>
      </w:tr>
      <w:tr>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機密等級</w:t>
            </w:r>
          </w:p>
        </w:tc>
        <w:tc>
          <w:tcPr>
            <w:tcW w:type="dxa" w:w="34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□機密　■內部使用　□一般</w:t>
            </w:r>
          </w:p>
        </w:tc>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制定日期</w:t>
            </w:r>
          </w:p>
        </w:tc>
        <w:tc>
          <w:tcPr>
            <w:tcW w:type="dxa" w:w="2512"/>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115年03月</w:t>
            </w:r>
          </w:p>
        </w:tc>
      </w:tr>
      <w:tr>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部科類別</w:t>
            </w:r>
          </w:p>
        </w:tc>
        <w:tc>
          <w:tcPr>
            <w:tcW w:type="dxa" w:w="34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□委員會　□醫療類　□護理類</w:t>
            </w:r>
          </w:p>
          <w:p>
            <w:pPr>
              <w:spacing w:line="235"/>
              <w:jc w:val="left"/>
            </w:pPr>
            <w:r>
              <w:rPr>
                <w:rFonts w:ascii="標楷體" w:cs="標楷體" w:eastAsia="標楷體" w:hAnsi="標楷體"/>
                <w:b w:val="false"/>
                <w:bCs w:val="false"/>
                <w:sz w:val="20"/>
                <w:szCs w:val="20"/>
              </w:rPr>
              <w:t xml:space="preserve">□醫技類　■行政類</w:t>
            </w:r>
          </w:p>
        </w:tc>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制定單位</w:t>
            </w:r>
          </w:p>
        </w:tc>
        <w:tc>
          <w:tcPr>
            <w:tcW w:type="dxa" w:w="2512"/>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總務部</w:t>
            </w:r>
          </w:p>
        </w:tc>
      </w:tr>
      <w:tr>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管制類別</w:t>
            </w:r>
          </w:p>
        </w:tc>
        <w:tc>
          <w:tcPr>
            <w:tcW w:type="dxa" w:w="34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■院內管制　　□部科室管制</w:t>
            </w:r>
          </w:p>
        </w:tc>
        <w:tc>
          <w:tcPr>
            <w:tcW w:type="dxa" w:w="1200"/>
            <w:vMerge w:val="restart"/>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適用院區</w:t>
            </w:r>
          </w:p>
        </w:tc>
        <w:tc>
          <w:tcPr>
            <w:tcW w:type="dxa" w:w="2512"/>
            <w:vMerge w:val="restart"/>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■沙鹿　■大甲　■長青</w:t>
            </w:r>
          </w:p>
        </w:tc>
      </w:tr>
      <w:tr>
        <w:tc>
          <w:tcPr>
            <w:tcW w:type="dxa" w:w="1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文件年限</w:t>
            </w:r>
          </w:p>
        </w:tc>
        <w:tc>
          <w:tcPr>
            <w:tcW w:type="dxa" w:w="34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□一年　　　　■二年</w:t>
            </w:r>
          </w:p>
        </w:tc>
        <w:tc>
          <w:tcPr>
            <w:tcW w:type="dxa" w:w="1200"/>
            <w:vMerge w:val="continue"/>
            <w:shd w:fill="E8E8E8" w:color="auto" w:val="clear"/>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512"/>
            <w:vMerge w:val="continue"/>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bl>
    <w:p>
      <w:pPr>
        <w:spacing w:after="300"/>
      </w:pPr>
    </w:p>
    <w:tbl>
      <w:tblPr>
        <w:tblW w:type="dxa" w:w="8312"/>
        <w:tblBorders>
          <w:top w:val="single" w:color="000000" w:sz="4"/>
          <w:left w:val="single" w:color="000000" w:sz="4"/>
          <w:bottom w:val="single" w:color="000000" w:sz="4"/>
          <w:right w:val="single" w:color="000000" w:sz="4"/>
          <w:insideH w:val="single" w:color="auto" w:sz="4"/>
          <w:insideV w:val="single" w:color="auto" w:sz="4"/>
        </w:tblBorders>
      </w:tblPr>
      <w:tblGrid>
        <w:gridCol w:w="800"/>
        <w:gridCol w:w="2504"/>
        <w:gridCol w:w="2504"/>
        <w:gridCol w:w="2504"/>
      </w:tblGrid>
      <w:tr>
        <w:tc>
          <w:tcPr>
            <w:tcW w:type="dxa" w:w="800"/>
            <w:vMerge w:val="restart"/>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版　次</w:t>
            </w:r>
          </w:p>
        </w:tc>
        <w:tc>
          <w:tcPr>
            <w:tcW w:type="dxa" w:w="2504"/>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核　准</w:t>
            </w:r>
          </w:p>
        </w:tc>
        <w:tc>
          <w:tcPr>
            <w:tcW w:type="dxa" w:w="2504"/>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審　核</w:t>
            </w:r>
          </w:p>
        </w:tc>
        <w:tc>
          <w:tcPr>
            <w:tcW w:type="dxa" w:w="2504"/>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2"/>
                <w:szCs w:val="22"/>
              </w:rPr>
              <w:t xml:space="preserve">制　定</w:t>
            </w:r>
          </w:p>
        </w:tc>
      </w:tr>
      <w:tr>
        <w:tc>
          <w:tcPr>
            <w:tcW w:type="dxa" w:w="800"/>
            <w:vMerge w:val="continue"/>
            <w:shd w:fill="E8E8E8" w:color="auto" w:val="clear"/>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504"/>
            <w:tcMar>
              <w:top w:type="dxa" w:w="40"/>
              <w:left w:type="dxa" w:w="70"/>
              <w:bottom w:type="dxa" w:w="40"/>
              <w:right w:type="dxa" w:w="70"/>
            </w:tcMar>
            <w:vAlign w:val="center"/>
          </w:tcPr>
          <w:p>
            <w:pPr>
              <w:spacing w:line="235"/>
              <w:jc w:val="center"/>
            </w:pPr>
            <w:r>
              <w:rPr>
                <w:rFonts w:ascii="標楷體" w:cs="標楷體" w:eastAsia="標楷體" w:hAnsi="標楷體"/>
                <w:b/>
                <w:bCs/>
                <w:sz w:val="17"/>
                <w:szCs w:val="17"/>
              </w:rPr>
              <w:t xml:space="preserve">副院長（ISO 50001管理代表）</w:t>
            </w:r>
          </w:p>
        </w:tc>
        <w:tc>
          <w:tcPr>
            <w:tcW w:type="dxa" w:w="2504"/>
            <w:tcMar>
              <w:top w:type="dxa" w:w="40"/>
              <w:left w:type="dxa" w:w="70"/>
              <w:bottom w:type="dxa" w:w="40"/>
              <w:right w:type="dxa" w:w="70"/>
            </w:tcMar>
            <w:vAlign w:val="center"/>
          </w:tcPr>
          <w:p>
            <w:pPr>
              <w:spacing w:line="235"/>
              <w:jc w:val="center"/>
            </w:pPr>
            <w:r>
              <w:rPr>
                <w:rFonts w:ascii="標楷體" w:cs="標楷體" w:eastAsia="標楷體" w:hAnsi="標楷體"/>
                <w:b/>
                <w:bCs/>
                <w:sz w:val="18"/>
                <w:szCs w:val="18"/>
              </w:rPr>
              <w:t xml:space="preserve">單位主管（總務部部長）</w:t>
            </w:r>
          </w:p>
        </w:tc>
        <w:tc>
          <w:tcPr>
            <w:tcW w:type="dxa" w:w="2504"/>
            <w:tcMar>
              <w:top w:type="dxa" w:w="40"/>
              <w:left w:type="dxa" w:w="70"/>
              <w:bottom w:type="dxa" w:w="40"/>
              <w:right w:type="dxa" w:w="70"/>
            </w:tcMar>
            <w:vAlign w:val="center"/>
          </w:tcPr>
          <w:p>
            <w:pPr>
              <w:spacing w:line="235"/>
              <w:jc w:val="center"/>
            </w:pPr>
            <w:r>
              <w:rPr>
                <w:rFonts w:ascii="標楷體" w:cs="標楷體" w:eastAsia="標楷體" w:hAnsi="標楷體"/>
                <w:b/>
                <w:bCs/>
                <w:sz w:val="18"/>
                <w:szCs w:val="18"/>
              </w:rPr>
              <w:t xml:space="preserve">制定者（總務部）</w:t>
            </w:r>
          </w:p>
        </w:tc>
      </w:tr>
      <w:tr>
        <w:trPr>
          <w:trHeight w:val="900" w:hRule="atLeast"/>
        </w:trPr>
        <w:tc>
          <w:tcPr>
            <w:tcW w:type="dxa" w:w="8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2"/>
                <w:szCs w:val="22"/>
              </w:rPr>
              <w:t xml:space="preserve">第一版</w:t>
            </w:r>
          </w:p>
        </w:tc>
        <w:tc>
          <w:tcPr>
            <w:tcW w:type="dxa" w:w="2504"/>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504"/>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504"/>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900" w:hRule="atLeast"/>
        </w:trPr>
        <w:tc>
          <w:tcPr>
            <w:tcW w:type="dxa" w:w="8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2"/>
                <w:szCs w:val="22"/>
              </w:rPr>
              <w:t xml:space="preserve">第二版</w:t>
            </w:r>
          </w:p>
        </w:tc>
        <w:tc>
          <w:tcPr>
            <w:tcW w:type="dxa" w:w="2504"/>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504"/>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504"/>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900" w:hRule="atLeast"/>
        </w:trPr>
        <w:tc>
          <w:tcPr>
            <w:tcW w:type="dxa" w:w="8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2"/>
                <w:szCs w:val="22"/>
              </w:rPr>
              <w:t xml:space="preserve">第三版</w:t>
            </w:r>
          </w:p>
        </w:tc>
        <w:tc>
          <w:tcPr>
            <w:tcW w:type="dxa" w:w="2504"/>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504"/>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504"/>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bl>
    <w:p>
      <w:pPr>
        <w:sectPr>
          <w:footerReference w:type="default" r:id="rId7"/>
          <w:pgSz w:w="11906" w:h="16838" w:orient="portrait"/>
          <w:pgMar w:top="1440" w:right="1797" w:bottom="1440" w:left="1797" w:header="720" w:footer="567" w:gutter="0"/>
          <w:pgNumType/>
          <w:docGrid w:linePitch="360"/>
        </w:sectPr>
      </w:pPr>
    </w:p>
    <w:p>
      <w:pPr>
        <w:keepNext/>
        <w:spacing w:after="50" w:before="150" w:line="240"/>
      </w:pPr>
      <w:r>
        <w:rPr>
          <w:rFonts w:ascii="標楷體" w:cs="標楷體" w:eastAsia="標楷體" w:hAnsi="標楷體"/>
          <w:b/>
          <w:bCs/>
          <w:sz w:val="24"/>
          <w:szCs w:val="24"/>
        </w:rPr>
        <w:t xml:space="preserve">1.目　　的：</w:t>
      </w:r>
    </w:p>
    <w:p>
      <w:pPr>
        <w:keepNext w:val="false"/>
        <w:spacing w:after="0" w:before="50" w:line="240"/>
        <w:ind w:left="720" w:hanging="240"/>
      </w:pPr>
      <w:r>
        <w:rPr>
          <w:rFonts w:ascii="標楷體" w:cs="標楷體" w:eastAsia="標楷體" w:hAnsi="標楷體"/>
          <w:b w:val="false"/>
          <w:bCs w:val="false"/>
          <w:sz w:val="24"/>
          <w:szCs w:val="24"/>
        </w:rPr>
        <w:t xml:space="preserve">1.1 為明文界定本院能源管理相關法規要求事項及其他要求事項之鑑別、取得、宣導、更新與守規性評估程序，確保本院能源管理系統符合適用之法規要求，特訂定本程序書。</w:t>
      </w:r>
    </w:p>
    <w:p>
      <w:pPr>
        <w:keepNext w:val="false"/>
        <w:spacing w:after="0" w:before="50" w:line="240"/>
        <w:ind w:left="720" w:hanging="240"/>
      </w:pPr>
      <w:r>
        <w:rPr>
          <w:rFonts w:ascii="標楷體" w:cs="標楷體" w:eastAsia="標楷體" w:hAnsi="標楷體"/>
          <w:b w:val="false"/>
          <w:bCs w:val="false"/>
          <w:sz w:val="24"/>
          <w:szCs w:val="24"/>
        </w:rPr>
        <w:t xml:space="preserve">1.2 本程序書依 ISO 50001:2018 能源管理系統－附使用指引之要求事項條款 4.2 瞭解利害相關者之需求與期望及條款 9.1.2 守規性評估訂定。</w:t>
      </w:r>
    </w:p>
    <w:p>
      <w:pPr>
        <w:keepNext/>
        <w:spacing w:after="50" w:before="150" w:line="240"/>
      </w:pPr>
      <w:r>
        <w:rPr>
          <w:rFonts w:ascii="標楷體" w:cs="標楷體" w:eastAsia="標楷體" w:hAnsi="標楷體"/>
          <w:b/>
          <w:bCs/>
          <w:sz w:val="24"/>
          <w:szCs w:val="24"/>
        </w:rPr>
        <w:t xml:space="preserve">2.適用範圍：</w:t>
      </w:r>
    </w:p>
    <w:p>
      <w:pPr>
        <w:keepNext w:val="false"/>
        <w:spacing w:after="0" w:before="50" w:line="240"/>
        <w:ind w:left="720" w:hanging="240"/>
      </w:pPr>
      <w:r>
        <w:rPr>
          <w:rFonts w:ascii="標楷體" w:cs="標楷體" w:eastAsia="標楷體" w:hAnsi="標楷體"/>
          <w:b w:val="false"/>
          <w:bCs w:val="false"/>
          <w:sz w:val="24"/>
          <w:szCs w:val="24"/>
        </w:rPr>
        <w:t xml:space="preserve">2.1 本院沙鹿院區、大甲院區及長青院區之活動、設施設備及服務，所須遵守之能源管理相關法規要求事項。</w:t>
      </w:r>
    </w:p>
    <w:p>
      <w:pPr>
        <w:keepNext w:val="false"/>
        <w:spacing w:after="0" w:before="50" w:line="240"/>
        <w:ind w:left="720" w:hanging="240"/>
      </w:pPr>
      <w:r>
        <w:rPr>
          <w:rFonts w:ascii="標楷體" w:cs="標楷體" w:eastAsia="標楷體" w:hAnsi="標楷體"/>
          <w:b w:val="false"/>
          <w:bCs w:val="false"/>
          <w:sz w:val="24"/>
          <w:szCs w:val="24"/>
        </w:rPr>
        <w:t xml:space="preserve">2.2 本院所承諾遵行之其他要求事項，包括補助計畫要求、標準要求、契約協議及本院自訂之能源政策承諾。</w:t>
      </w:r>
    </w:p>
    <w:p>
      <w:pPr>
        <w:keepNext w:val="false"/>
        <w:spacing w:after="0" w:before="50" w:line="240"/>
        <w:ind w:left="720" w:hanging="240"/>
      </w:pPr>
      <w:r>
        <w:rPr>
          <w:rFonts w:ascii="標楷體" w:cs="標楷體" w:eastAsia="標楷體" w:hAnsi="標楷體"/>
          <w:b w:val="false"/>
          <w:bCs w:val="false"/>
          <w:sz w:val="24"/>
          <w:szCs w:val="24"/>
        </w:rPr>
        <w:t xml:space="preserve">2.3 本程序書以能源管理相關法規為範圍；職業安全衛生、醫療業務及其他非能源相關法規之鑑別，另依本院各該權責單位規定辦理。</w:t>
      </w:r>
    </w:p>
    <w:p>
      <w:pPr>
        <w:keepNext/>
        <w:spacing w:after="50" w:before="150" w:line="240"/>
      </w:pPr>
      <w:r>
        <w:rPr>
          <w:rFonts w:ascii="標楷體" w:cs="標楷體" w:eastAsia="標楷體" w:hAnsi="標楷體"/>
          <w:b/>
          <w:bCs/>
          <w:sz w:val="24"/>
          <w:szCs w:val="24"/>
        </w:rPr>
        <w:t xml:space="preserve">3.名詞解釋：</w:t>
      </w:r>
    </w:p>
    <w:p>
      <w:pPr>
        <w:keepNext w:val="false"/>
        <w:spacing w:after="0" w:before="50" w:line="240"/>
        <w:ind w:left="720" w:hanging="240"/>
      </w:pPr>
      <w:r>
        <w:rPr>
          <w:rFonts w:ascii="標楷體" w:cs="標楷體" w:eastAsia="標楷體" w:hAnsi="標楷體"/>
          <w:b w:val="false"/>
          <w:bCs w:val="false"/>
          <w:sz w:val="24"/>
          <w:szCs w:val="24"/>
        </w:rPr>
        <w:t xml:space="preserve">3.1 法規要求事項(Legal Requirements)：中央或地方主管機關所頒布，本院應遵守之法律、法規命令、行政規則及公告。</w:t>
      </w:r>
    </w:p>
    <w:p>
      <w:pPr>
        <w:keepNext w:val="false"/>
        <w:spacing w:after="0" w:before="50" w:line="240"/>
        <w:ind w:left="720" w:hanging="240"/>
      </w:pPr>
      <w:r>
        <w:rPr>
          <w:rFonts w:ascii="標楷體" w:cs="標楷體" w:eastAsia="標楷體" w:hAnsi="標楷體"/>
          <w:b w:val="false"/>
          <w:bCs w:val="false"/>
          <w:sz w:val="24"/>
          <w:szCs w:val="24"/>
        </w:rPr>
        <w:t xml:space="preserve">3.2 其他要求事項(Other Requirements)：非法規所規定，但本院承諾遵行者，如補助計畫要求、驗證標準要求、契約協議及能源政策承諾。</w:t>
      </w:r>
    </w:p>
    <w:p>
      <w:pPr>
        <w:keepNext w:val="false"/>
        <w:spacing w:after="0" w:before="50" w:line="240"/>
        <w:ind w:left="720" w:hanging="240"/>
      </w:pPr>
      <w:r>
        <w:rPr>
          <w:rFonts w:ascii="標楷體" w:cs="標楷體" w:eastAsia="標楷體" w:hAnsi="標楷體"/>
          <w:b w:val="false"/>
          <w:bCs w:val="false"/>
          <w:sz w:val="24"/>
          <w:szCs w:val="24"/>
        </w:rPr>
        <w:t xml:space="preserve">3.3 守規性評估(Evaluation of Compliance)：定期評估本院對法規要求事項及其他要求事項之遵循狀況，並保存評估結果之作業。</w:t>
      </w:r>
    </w:p>
    <w:p>
      <w:pPr>
        <w:keepNext w:val="false"/>
        <w:spacing w:after="0" w:before="50" w:line="240"/>
        <w:ind w:left="720" w:hanging="240"/>
      </w:pPr>
      <w:r>
        <w:rPr>
          <w:rFonts w:ascii="標楷體" w:cs="標楷體" w:eastAsia="標楷體" w:hAnsi="標楷體"/>
          <w:b w:val="false"/>
          <w:bCs w:val="false"/>
          <w:sz w:val="24"/>
          <w:szCs w:val="24"/>
        </w:rPr>
        <w:t xml:space="preserve">3.4 指定能源用戶：依能源管理法及中央主管機關公告之基準，經指定應遵行能源管理事項之能源用戶。</w:t>
      </w:r>
    </w:p>
    <w:p>
      <w:pPr>
        <w:keepNext w:val="false"/>
        <w:spacing w:after="0" w:before="50" w:line="240"/>
        <w:ind w:left="720" w:hanging="240"/>
      </w:pPr>
      <w:r>
        <w:rPr>
          <w:rFonts w:ascii="標楷體" w:cs="標楷體" w:eastAsia="標楷體" w:hAnsi="標楷體"/>
          <w:b w:val="false"/>
          <w:bCs w:val="false"/>
          <w:sz w:val="24"/>
          <w:szCs w:val="24"/>
        </w:rPr>
        <w:t xml:space="preserve">3.5 能源管理盤查小組：本院依 ISO 50001:2018 條款 5.3 設置之能源管理團隊，其編制與職責依 1D10CTC5001 能源管理盤查小組組織章程暨職責說明辦理。</w:t>
      </w:r>
    </w:p>
    <w:p>
      <w:pPr>
        <w:keepNext/>
        <w:spacing w:after="50" w:before="150" w:line="240"/>
      </w:pPr>
      <w:r>
        <w:rPr>
          <w:rFonts w:ascii="標楷體" w:cs="標楷體" w:eastAsia="標楷體" w:hAnsi="標楷體"/>
          <w:b/>
          <w:bCs/>
          <w:sz w:val="24"/>
          <w:szCs w:val="24"/>
        </w:rPr>
        <w:t xml:space="preserve">4.相關文件：</w:t>
      </w:r>
    </w:p>
    <w:p>
      <w:pPr>
        <w:keepNext w:val="false"/>
        <w:spacing w:after="0" w:before="50" w:line="240"/>
        <w:ind w:left="720" w:hanging="240"/>
      </w:pPr>
      <w:r>
        <w:rPr>
          <w:rFonts w:ascii="標楷體" w:cs="標楷體" w:eastAsia="標楷體" w:hAnsi="標楷體"/>
          <w:b w:val="false"/>
          <w:bCs w:val="false"/>
          <w:sz w:val="24"/>
          <w:szCs w:val="24"/>
        </w:rPr>
        <w:t xml:space="preserve">4.1 1D10ATQ0001 能源管理手冊。</w:t>
      </w:r>
    </w:p>
    <w:p>
      <w:pPr>
        <w:keepNext w:val="false"/>
        <w:spacing w:after="0" w:before="50" w:line="240"/>
        <w:ind w:left="720" w:hanging="240"/>
      </w:pPr>
      <w:r>
        <w:rPr>
          <w:rFonts w:ascii="標楷體" w:cs="標楷體" w:eastAsia="標楷體" w:hAnsi="標楷體"/>
          <w:b w:val="false"/>
          <w:bCs w:val="false"/>
          <w:sz w:val="24"/>
          <w:szCs w:val="24"/>
        </w:rPr>
        <w:t xml:space="preserve">4.2 1D10CTC5001 能源管理盤查小組組織章程暨職責說明。</w:t>
      </w:r>
    </w:p>
    <w:p>
      <w:pPr>
        <w:keepNext w:val="false"/>
        <w:spacing w:after="0" w:before="50" w:line="240"/>
        <w:ind w:left="720" w:hanging="240"/>
      </w:pPr>
      <w:r>
        <w:rPr>
          <w:rFonts w:ascii="標楷體" w:cs="標楷體" w:eastAsia="標楷體" w:hAnsi="標楷體"/>
          <w:b w:val="false"/>
          <w:bCs w:val="false"/>
          <w:sz w:val="24"/>
          <w:szCs w:val="24"/>
        </w:rPr>
        <w:t xml:space="preserve">4.3 1D10ATP0059 組織背景及風險管理程序。</w:t>
      </w:r>
    </w:p>
    <w:p>
      <w:pPr>
        <w:keepNext w:val="false"/>
        <w:spacing w:after="0" w:before="50" w:line="240"/>
        <w:ind w:left="720" w:hanging="240"/>
      </w:pPr>
      <w:r>
        <w:rPr>
          <w:rFonts w:ascii="標楷體" w:cs="標楷體" w:eastAsia="標楷體" w:hAnsi="標楷體"/>
          <w:b w:val="false"/>
          <w:bCs w:val="false"/>
          <w:sz w:val="24"/>
          <w:szCs w:val="24"/>
        </w:rPr>
        <w:t xml:space="preserve">4.4 1D10ATP0048 能源審查程序書。</w:t>
      </w:r>
    </w:p>
    <w:p>
      <w:pPr>
        <w:keepNext w:val="false"/>
        <w:spacing w:after="0" w:before="50" w:line="240"/>
        <w:ind w:left="720" w:hanging="240"/>
      </w:pPr>
      <w:r>
        <w:rPr>
          <w:rFonts w:ascii="標楷體" w:cs="標楷體" w:eastAsia="標楷體" w:hAnsi="標楷體"/>
          <w:b w:val="false"/>
          <w:bCs w:val="false"/>
          <w:sz w:val="24"/>
          <w:szCs w:val="24"/>
        </w:rPr>
        <w:t xml:space="preserve">4.5 1D10ATP0046 能源系統監督與量測管理程序書。</w:t>
      </w:r>
    </w:p>
    <w:p>
      <w:pPr>
        <w:keepNext w:val="false"/>
        <w:spacing w:after="0" w:before="50" w:line="240"/>
        <w:ind w:left="720" w:hanging="240"/>
      </w:pPr>
      <w:r>
        <w:rPr>
          <w:rFonts w:ascii="標楷體" w:cs="標楷體" w:eastAsia="標楷體" w:hAnsi="標楷體"/>
          <w:b w:val="false"/>
          <w:bCs w:val="false"/>
          <w:sz w:val="24"/>
          <w:szCs w:val="24"/>
        </w:rPr>
        <w:t xml:space="preserve">4.6 1D10ATP0066 能源管理目標與方案管理程序書。</w:t>
      </w:r>
    </w:p>
    <w:p>
      <w:pPr>
        <w:keepNext w:val="false"/>
        <w:spacing w:after="0" w:before="50" w:line="240"/>
        <w:ind w:left="720" w:hanging="240"/>
      </w:pPr>
      <w:r>
        <w:rPr>
          <w:rFonts w:ascii="標楷體" w:cs="標楷體" w:eastAsia="標楷體" w:hAnsi="標楷體"/>
          <w:b w:val="false"/>
          <w:bCs w:val="false"/>
          <w:sz w:val="24"/>
          <w:szCs w:val="24"/>
        </w:rPr>
        <w:t xml:space="preserve">4.7 1D10ATP0050 能源系統變更管理程序書。</w:t>
      </w:r>
    </w:p>
    <w:p>
      <w:pPr>
        <w:keepNext w:val="false"/>
        <w:spacing w:after="0" w:before="50" w:line="240"/>
        <w:ind w:left="720" w:hanging="240"/>
      </w:pPr>
      <w:r>
        <w:rPr>
          <w:rFonts w:ascii="標楷體" w:cs="標楷體" w:eastAsia="標楷體" w:hAnsi="標楷體"/>
          <w:b w:val="false"/>
          <w:bCs w:val="false"/>
          <w:sz w:val="24"/>
          <w:szCs w:val="24"/>
        </w:rPr>
        <w:t xml:space="preserve">4.8 0220ATP0001 文件制定與管制作業辦法。</w:t>
      </w:r>
    </w:p>
    <w:p>
      <w:pPr>
        <w:keepNext/>
        <w:spacing w:after="50" w:before="150" w:line="240"/>
      </w:pPr>
      <w:r>
        <w:rPr>
          <w:rFonts w:ascii="標楷體" w:cs="標楷體" w:eastAsia="標楷體" w:hAnsi="標楷體"/>
          <w:b/>
          <w:bCs/>
          <w:sz w:val="24"/>
          <w:szCs w:val="24"/>
        </w:rPr>
        <w:t xml:space="preserve">5.權　　責：</w:t>
      </w:r>
    </w:p>
    <w:p>
      <w:pPr>
        <w:keepNext w:val="false"/>
        <w:spacing w:after="0" w:before="50" w:line="240"/>
        <w:ind w:left="720" w:hanging="240"/>
      </w:pPr>
      <w:r>
        <w:rPr>
          <w:rFonts w:ascii="標楷體" w:cs="標楷體" w:eastAsia="標楷體" w:hAnsi="標楷體"/>
          <w:b w:val="false"/>
          <w:bCs w:val="false"/>
          <w:sz w:val="24"/>
          <w:szCs w:val="24"/>
        </w:rPr>
        <w:t xml:space="preserve">5.1 ISO 50001管理代表：核定適用法規及其他要求事項清單；核定守規性評估結果；於發生不符合時裁示矯正管理措施。</w:t>
      </w:r>
    </w:p>
    <w:p>
      <w:pPr>
        <w:keepNext w:val="false"/>
        <w:spacing w:after="0" w:before="50" w:line="240"/>
        <w:ind w:left="720" w:hanging="240"/>
      </w:pPr>
      <w:r>
        <w:rPr>
          <w:rFonts w:ascii="標楷體" w:cs="標楷體" w:eastAsia="標楷體" w:hAnsi="標楷體"/>
          <w:b w:val="false"/>
          <w:bCs w:val="false"/>
          <w:sz w:val="24"/>
          <w:szCs w:val="24"/>
        </w:rPr>
        <w:t xml:space="preserve">5.2 能源管理盤查小組：審議法規鑑別結果與守規性評估結果；就不符合事項擬定矯正管理措施並追蹤結案。</w:t>
      </w:r>
    </w:p>
    <w:p>
      <w:pPr>
        <w:keepNext w:val="false"/>
        <w:spacing w:after="0" w:before="50" w:line="240"/>
        <w:ind w:left="720" w:hanging="240"/>
      </w:pPr>
      <w:r>
        <w:rPr>
          <w:rFonts w:ascii="標楷體" w:cs="標楷體" w:eastAsia="標楷體" w:hAnsi="標楷體"/>
          <w:b w:val="false"/>
          <w:bCs w:val="false"/>
          <w:sz w:val="24"/>
          <w:szCs w:val="24"/>
        </w:rPr>
        <w:t xml:space="preserve">5.3 總務部（執行秘書）：辦理法規之鑑別、取得、登錄與更新；辦理守規性評估作業；維護附件一及附件二；保存相關文件化資訊。</w:t>
      </w:r>
    </w:p>
    <w:p>
      <w:pPr>
        <w:keepNext w:val="false"/>
        <w:spacing w:after="0" w:before="50" w:line="240"/>
        <w:ind w:left="720" w:hanging="240"/>
      </w:pPr>
      <w:r>
        <w:rPr>
          <w:rFonts w:ascii="標楷體" w:cs="標楷體" w:eastAsia="標楷體" w:hAnsi="標楷體"/>
          <w:b w:val="false"/>
          <w:bCs w:val="false"/>
          <w:sz w:val="24"/>
          <w:szCs w:val="24"/>
        </w:rPr>
        <w:t xml:space="preserve">5.4 各適用單位：配合提供現況執行資料；就所屬業務相關之法規要求向同仁宣導；執行經核定之矯正管理措施。</w:t>
      </w:r>
    </w:p>
    <w:p>
      <w:pPr>
        <w:keepNext w:val="false"/>
        <w:spacing w:after="0" w:before="50" w:line="240"/>
        <w:ind w:left="720" w:hanging="240"/>
      </w:pPr>
      <w:r>
        <w:rPr>
          <w:rFonts w:ascii="標楷體" w:cs="標楷體" w:eastAsia="標楷體" w:hAnsi="標楷體"/>
          <w:b w:val="false"/>
          <w:bCs w:val="false"/>
          <w:sz w:val="24"/>
          <w:szCs w:val="24"/>
        </w:rPr>
        <w:t xml:space="preserve">5.5 執行法規鑑別、取得與評估之人員，應具備下列資格之一：</w:t>
      </w:r>
    </w:p>
    <w:p>
      <w:pPr>
        <w:keepNext w:val="false"/>
        <w:spacing w:after="0" w:before="0" w:line="240"/>
        <w:ind w:left="960" w:hanging="240"/>
      </w:pPr>
      <w:r>
        <w:rPr>
          <w:rFonts w:ascii="標楷體" w:cs="標楷體" w:eastAsia="標楷體" w:hAnsi="標楷體"/>
          <w:b w:val="false"/>
          <w:bCs w:val="false"/>
          <w:sz w:val="24"/>
          <w:szCs w:val="24"/>
        </w:rPr>
        <w:t xml:space="preserve">5.5.1 領有經濟部核發之能源管理人員證書，或相當之專業證照。</w:t>
      </w:r>
    </w:p>
    <w:p>
      <w:pPr>
        <w:keepNext w:val="false"/>
        <w:spacing w:after="0" w:before="0" w:line="240"/>
        <w:ind w:left="960" w:hanging="240"/>
      </w:pPr>
      <w:r>
        <w:rPr>
          <w:rFonts w:ascii="標楷體" w:cs="標楷體" w:eastAsia="標楷體" w:hAnsi="標楷體"/>
          <w:b w:val="false"/>
          <w:bCs w:val="false"/>
          <w:sz w:val="24"/>
          <w:szCs w:val="24"/>
        </w:rPr>
        <w:t xml:space="preserve">5.5.2 接受本院或外部辦理之能源管理系統法規鑑別與評估相關課程訓練，累計三小時以上。</w:t>
      </w:r>
    </w:p>
    <w:p>
      <w:pPr>
        <w:keepNext/>
        <w:spacing w:after="50" w:before="150" w:line="240"/>
      </w:pPr>
      <w:r>
        <w:rPr>
          <w:rFonts w:ascii="標楷體" w:cs="標楷體" w:eastAsia="標楷體" w:hAnsi="標楷體"/>
          <w:b/>
          <w:bCs/>
          <w:sz w:val="24"/>
          <w:szCs w:val="24"/>
        </w:rPr>
        <w:t xml:space="preserve">6.內　　容：</w:t>
      </w:r>
    </w:p>
    <w:p>
      <w:pPr>
        <w:keepNext w:val="false"/>
        <w:spacing w:after="0" w:before="50" w:line="240"/>
        <w:ind w:left="720" w:hanging="240"/>
      </w:pPr>
      <w:r>
        <w:rPr>
          <w:rFonts w:ascii="標楷體" w:cs="標楷體" w:eastAsia="標楷體" w:hAnsi="標楷體"/>
          <w:b w:val="false"/>
          <w:bCs w:val="false"/>
          <w:sz w:val="24"/>
          <w:szCs w:val="24"/>
        </w:rPr>
        <w:t xml:space="preserve">6.1 法規與其他要求事項之鑑別</w:t>
      </w:r>
    </w:p>
    <w:p>
      <w:pPr>
        <w:keepNext w:val="false"/>
        <w:spacing w:after="0" w:before="0" w:line="240"/>
        <w:ind w:left="960" w:hanging="240"/>
      </w:pPr>
      <w:r>
        <w:rPr>
          <w:rFonts w:ascii="標楷體" w:cs="標楷體" w:eastAsia="標楷體" w:hAnsi="標楷體"/>
          <w:b w:val="false"/>
          <w:bCs w:val="false"/>
          <w:sz w:val="24"/>
          <w:szCs w:val="24"/>
        </w:rPr>
        <w:t xml:space="preserve">6.1.1 就本院各項活動、設施設備及服務作業，蒐集並取得適用之能源管理相關法規要求事項及其他要求事項。</w:t>
      </w:r>
    </w:p>
    <w:p>
      <w:pPr>
        <w:keepNext w:val="false"/>
        <w:spacing w:after="0" w:before="0" w:line="240"/>
        <w:ind w:left="960" w:hanging="240"/>
      </w:pPr>
      <w:r>
        <w:rPr>
          <w:rFonts w:ascii="標楷體" w:cs="標楷體" w:eastAsia="標楷體" w:hAnsi="標楷體"/>
          <w:b w:val="false"/>
          <w:bCs w:val="false"/>
          <w:sz w:val="24"/>
          <w:szCs w:val="24"/>
        </w:rPr>
        <w:t xml:space="preserve">6.1.2 鑑別時應併同考量下列面向：</w:t>
      </w:r>
    </w:p>
    <w:p>
      <w:pPr>
        <w:keepNext w:val="false"/>
        <w:spacing w:after="0" w:before="0" w:line="240"/>
        <w:ind w:left="1200" w:hanging="240"/>
      </w:pPr>
      <w:r>
        <w:rPr>
          <w:rFonts w:ascii="標楷體" w:cs="標楷體" w:eastAsia="標楷體" w:hAnsi="標楷體"/>
          <w:b w:val="false"/>
          <w:bCs w:val="false"/>
          <w:sz w:val="24"/>
          <w:szCs w:val="24"/>
        </w:rPr>
        <w:t xml:space="preserve">6.1.2.1 能源使用與能源消耗：用電、用氣、用油之管理義務。</w:t>
      </w:r>
    </w:p>
    <w:p>
      <w:pPr>
        <w:keepNext w:val="false"/>
        <w:spacing w:after="0" w:before="0" w:line="240"/>
        <w:ind w:left="1200" w:hanging="240"/>
      </w:pPr>
      <w:r>
        <w:rPr>
          <w:rFonts w:ascii="標楷體" w:cs="標楷體" w:eastAsia="標楷體" w:hAnsi="標楷體"/>
          <w:b w:val="false"/>
          <w:bCs w:val="false"/>
          <w:sz w:val="24"/>
          <w:szCs w:val="24"/>
        </w:rPr>
        <w:t xml:space="preserve">6.1.2.2 能源效率：設備能源效率標示、能源效率基準之要求。</w:t>
      </w:r>
    </w:p>
    <w:p>
      <w:pPr>
        <w:keepNext w:val="false"/>
        <w:spacing w:after="0" w:before="0" w:line="240"/>
        <w:ind w:left="1200" w:hanging="240"/>
      </w:pPr>
      <w:r>
        <w:rPr>
          <w:rFonts w:ascii="標楷體" w:cs="標楷體" w:eastAsia="標楷體" w:hAnsi="標楷體"/>
          <w:b w:val="false"/>
          <w:bCs w:val="false"/>
          <w:sz w:val="24"/>
          <w:szCs w:val="24"/>
        </w:rPr>
        <w:t xml:space="preserve">6.1.2.3 能源用戶義務：能源查核、節約能源目標及執行計畫之申報與備查。</w:t>
      </w:r>
    </w:p>
    <w:p>
      <w:pPr>
        <w:keepNext w:val="false"/>
        <w:spacing w:after="0" w:before="0" w:line="240"/>
        <w:ind w:left="1200" w:hanging="240"/>
      </w:pPr>
      <w:r>
        <w:rPr>
          <w:rFonts w:ascii="標楷體" w:cs="標楷體" w:eastAsia="標楷體" w:hAnsi="標楷體"/>
          <w:b w:val="false"/>
          <w:bCs w:val="false"/>
          <w:sz w:val="24"/>
          <w:szCs w:val="24"/>
        </w:rPr>
        <w:t xml:space="preserve">6.1.2.4 溫室氣體與再生能源：碳排放盤查登錄、用電大戶設置再生能源之義務。</w:t>
      </w:r>
    </w:p>
    <w:p>
      <w:pPr>
        <w:keepNext w:val="false"/>
        <w:spacing w:after="0" w:before="0" w:line="240"/>
        <w:ind w:left="1200" w:hanging="240"/>
      </w:pPr>
      <w:r>
        <w:rPr>
          <w:rFonts w:ascii="標楷體" w:cs="標楷體" w:eastAsia="標楷體" w:hAnsi="標楷體"/>
          <w:b w:val="false"/>
          <w:bCs w:val="false"/>
          <w:sz w:val="24"/>
          <w:szCs w:val="24"/>
        </w:rPr>
        <w:t xml:space="preserve">6.1.2.5 設施設備管理：用電設備、鍋爐及空調設備之檢驗維護義務。</w:t>
      </w:r>
    </w:p>
    <w:p>
      <w:pPr>
        <w:keepNext w:val="false"/>
        <w:spacing w:after="0" w:before="0" w:line="240"/>
        <w:ind w:left="960" w:hanging="240"/>
      </w:pPr>
      <w:r>
        <w:rPr>
          <w:rFonts w:ascii="標楷體" w:cs="標楷體" w:eastAsia="標楷體" w:hAnsi="標楷體"/>
          <w:b w:val="false"/>
          <w:bCs w:val="false"/>
          <w:sz w:val="24"/>
          <w:szCs w:val="24"/>
        </w:rPr>
        <w:t xml:space="preserve">6.1.3 將適用之法規及其條文、其他要求事項，逐項登錄於附件一「適用法規及其他要求事項清單」，並註明公布或修正日期。</w:t>
      </w:r>
    </w:p>
    <w:p>
      <w:pPr>
        <w:keepNext w:val="false"/>
        <w:spacing w:after="0" w:before="0" w:line="240"/>
        <w:ind w:left="960" w:hanging="240"/>
      </w:pPr>
      <w:r>
        <w:rPr>
          <w:rFonts w:ascii="標楷體" w:cs="標楷體" w:eastAsia="標楷體" w:hAnsi="標楷體"/>
          <w:b w:val="false"/>
          <w:bCs w:val="false"/>
          <w:sz w:val="24"/>
          <w:szCs w:val="24"/>
        </w:rPr>
        <w:t xml:space="preserve">6.1.4 法規之適用性，應依本院實際規模與營運狀況判定；不適用者於附件一註明「N/A」及其理由，不得逕行略去。</w:t>
      </w:r>
    </w:p>
    <w:p>
      <w:pPr>
        <w:keepNext w:val="false"/>
        <w:spacing w:after="0" w:before="50" w:line="240"/>
        <w:ind w:left="720" w:hanging="240"/>
      </w:pPr>
      <w:r>
        <w:rPr>
          <w:rFonts w:ascii="標楷體" w:cs="標楷體" w:eastAsia="標楷體" w:hAnsi="標楷體"/>
          <w:b w:val="false"/>
          <w:bCs w:val="false"/>
          <w:sz w:val="24"/>
          <w:szCs w:val="24"/>
        </w:rPr>
        <w:t xml:space="preserve">6.2 資料之取得管道</w:t>
      </w:r>
    </w:p>
    <w:p>
      <w:pPr>
        <w:keepNext w:val="false"/>
        <w:spacing w:after="0" w:before="0" w:line="240"/>
        <w:ind w:left="960" w:hanging="240"/>
      </w:pPr>
      <w:r>
        <w:rPr>
          <w:rFonts w:ascii="標楷體" w:cs="標楷體" w:eastAsia="標楷體" w:hAnsi="標楷體"/>
          <w:b w:val="false"/>
          <w:bCs w:val="false"/>
          <w:sz w:val="24"/>
          <w:szCs w:val="24"/>
        </w:rPr>
        <w:t xml:space="preserve">6.2.1 法規資料以主管機關官方網站取得為原則，資料不完整時得向相關機關（構）索取。</w:t>
      </w:r>
    </w:p>
    <w:p>
      <w:pPr>
        <w:keepNext w:val="false"/>
        <w:spacing w:after="0" w:before="0" w:line="240"/>
        <w:ind w:left="960" w:hanging="240"/>
      </w:pPr>
      <w:r>
        <w:rPr>
          <w:rFonts w:ascii="標楷體" w:cs="標楷體" w:eastAsia="標楷體" w:hAnsi="標楷體"/>
          <w:b w:val="false"/>
          <w:bCs w:val="false"/>
          <w:sz w:val="24"/>
          <w:szCs w:val="24"/>
        </w:rPr>
        <w:t xml:space="preserve">6.2.2 本院主要查詢管道如下表：</w:t>
      </w:r>
    </w:p>
    <w:p>
      <w:pPr>
        <w:spacing w:after="0" w:before="0" w:line="120"/>
      </w:pPr>
    </w:p>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2600"/>
        <w:gridCol w:w="3300"/>
        <w:gridCol w:w="4306"/>
      </w:tblGrid>
      <w:tr>
        <w:trPr>
          <w:tblHeader/>
        </w:trPr>
        <w:tc>
          <w:tcPr>
            <w:tcW w:type="dxa" w:w="26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查詢管道</w:t>
            </w:r>
          </w:p>
        </w:tc>
        <w:tc>
          <w:tcPr>
            <w:tcW w:type="dxa" w:w="33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主管機關</w:t>
            </w:r>
          </w:p>
        </w:tc>
        <w:tc>
          <w:tcPr>
            <w:tcW w:type="dxa" w:w="4306"/>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主要查詢內容</w:t>
            </w:r>
          </w:p>
        </w:tc>
      </w:tr>
      <w:tr>
        <w:tc>
          <w:tcPr>
            <w:tcW w:type="dxa" w:w="26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全國法規資料庫</w:t>
            </w:r>
          </w:p>
        </w:tc>
        <w:tc>
          <w:tcPr>
            <w:tcW w:type="dxa" w:w="33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法務部</w:t>
            </w:r>
          </w:p>
        </w:tc>
        <w:tc>
          <w:tcPr>
            <w:tcW w:type="dxa" w:w="43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法律、法規命令全文及沿革查詢</w:t>
            </w:r>
          </w:p>
        </w:tc>
      </w:tr>
      <w:tr>
        <w:tc>
          <w:tcPr>
            <w:tcW w:type="dxa" w:w="26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經濟部能源署</w:t>
            </w:r>
          </w:p>
        </w:tc>
        <w:tc>
          <w:tcPr>
            <w:tcW w:type="dxa" w:w="33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經濟部</w:t>
            </w:r>
          </w:p>
        </w:tc>
        <w:tc>
          <w:tcPr>
            <w:tcW w:type="dxa" w:w="43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能源管理法令、能源查核、節約能源計畫、能源效率標示</w:t>
            </w:r>
          </w:p>
        </w:tc>
      </w:tr>
      <w:tr>
        <w:tc>
          <w:tcPr>
            <w:tcW w:type="dxa" w:w="26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環境部</w:t>
            </w:r>
          </w:p>
        </w:tc>
        <w:tc>
          <w:tcPr>
            <w:tcW w:type="dxa" w:w="33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環境部</w:t>
            </w:r>
          </w:p>
        </w:tc>
        <w:tc>
          <w:tcPr>
            <w:tcW w:type="dxa" w:w="43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氣候變遷因應法、溫室氣體盤查登錄、空氣污染防制</w:t>
            </w:r>
          </w:p>
        </w:tc>
      </w:tr>
      <w:tr>
        <w:tc>
          <w:tcPr>
            <w:tcW w:type="dxa" w:w="26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內政部（建築管理）</w:t>
            </w:r>
          </w:p>
        </w:tc>
        <w:tc>
          <w:tcPr>
            <w:tcW w:type="dxa" w:w="33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內政部</w:t>
            </w:r>
          </w:p>
        </w:tc>
        <w:tc>
          <w:tcPr>
            <w:tcW w:type="dxa" w:w="43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建築技術規則綠建築基準</w:t>
            </w:r>
          </w:p>
        </w:tc>
      </w:tr>
      <w:tr>
        <w:tc>
          <w:tcPr>
            <w:tcW w:type="dxa" w:w="26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衛生福利部</w:t>
            </w:r>
          </w:p>
        </w:tc>
        <w:tc>
          <w:tcPr>
            <w:tcW w:type="dxa" w:w="33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衛生福利部</w:t>
            </w:r>
          </w:p>
        </w:tc>
        <w:tc>
          <w:tcPr>
            <w:tcW w:type="dxa" w:w="43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醫療機構相關規定、綠色醫療補助計畫要求</w:t>
            </w:r>
          </w:p>
        </w:tc>
      </w:tr>
      <w:tr>
        <w:tc>
          <w:tcPr>
            <w:tcW w:type="dxa" w:w="26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台灣電力公司</w:t>
            </w:r>
          </w:p>
        </w:tc>
        <w:tc>
          <w:tcPr>
            <w:tcW w:type="dxa" w:w="33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台灣電力公司</w:t>
            </w:r>
          </w:p>
        </w:tc>
        <w:tc>
          <w:tcPr>
            <w:tcW w:type="dxa" w:w="43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電價方案、契約容量、需量反應措施</w:t>
            </w:r>
          </w:p>
        </w:tc>
      </w:tr>
    </w:tbl>
    <w:p>
      <w:pPr>
        <w:spacing w:after="0" w:before="0" w:line="120"/>
      </w:pPr>
    </w:p>
    <w:p>
      <w:pPr>
        <w:keepNext w:val="false"/>
        <w:spacing w:after="0" w:before="0" w:line="240"/>
        <w:ind w:left="960" w:hanging="240"/>
      </w:pPr>
      <w:r>
        <w:rPr>
          <w:rFonts w:ascii="標楷體" w:cs="標楷體" w:eastAsia="標楷體" w:hAnsi="標楷體"/>
          <w:b w:val="false"/>
          <w:bCs w:val="false"/>
          <w:sz w:val="24"/>
          <w:szCs w:val="24"/>
        </w:rPr>
        <w:t xml:space="preserve">6.2.3 其他要求事項得自相關協議內容取得，如補助計畫契約、採購契約、承攬契約及管理規範。</w:t>
      </w:r>
    </w:p>
    <w:p>
      <w:pPr>
        <w:keepNext w:val="false"/>
        <w:spacing w:after="0" w:before="50" w:line="240"/>
        <w:ind w:left="720" w:hanging="240"/>
      </w:pPr>
      <w:r>
        <w:rPr>
          <w:rFonts w:ascii="標楷體" w:cs="標楷體" w:eastAsia="標楷體" w:hAnsi="標楷體"/>
          <w:b w:val="false"/>
          <w:bCs w:val="false"/>
          <w:sz w:val="24"/>
          <w:szCs w:val="24"/>
        </w:rPr>
        <w:t xml:space="preserve">6.3 本院主要適用之法規要求事項及其他要求事項</w:t>
      </w:r>
    </w:p>
    <w:p>
      <w:pPr>
        <w:keepNext w:val="false"/>
        <w:spacing w:after="0" w:before="0" w:line="240"/>
        <w:ind w:left="960" w:hanging="240"/>
      </w:pPr>
      <w:r>
        <w:rPr>
          <w:rFonts w:ascii="標楷體" w:cs="標楷體" w:eastAsia="標楷體" w:hAnsi="標楷體"/>
          <w:b w:val="false"/>
          <w:bCs w:val="false"/>
          <w:sz w:val="24"/>
          <w:szCs w:val="24"/>
        </w:rPr>
        <w:t xml:space="preserve">6.3.1 本院經鑑別之主要適用法規如下表；完整清單及其適用條文，詳附件一。</w:t>
      </w:r>
    </w:p>
    <w:p>
      <w:pPr>
        <w:spacing w:after="0" w:before="0" w:line="120"/>
      </w:pPr>
    </w:p>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3400"/>
        <w:gridCol w:w="2200"/>
        <w:gridCol w:w="4606"/>
      </w:tblGrid>
      <w:tr>
        <w:trPr>
          <w:tblHeader/>
        </w:trPr>
        <w:tc>
          <w:tcPr>
            <w:tcW w:type="dxa" w:w="34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法規名稱</w:t>
            </w:r>
          </w:p>
        </w:tc>
        <w:tc>
          <w:tcPr>
            <w:tcW w:type="dxa" w:w="2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主管機關</w:t>
            </w:r>
          </w:p>
        </w:tc>
        <w:tc>
          <w:tcPr>
            <w:tcW w:type="dxa" w:w="4606"/>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與本院能源管理之主要關聯</w:t>
            </w:r>
          </w:p>
        </w:tc>
      </w:tr>
      <w:tr>
        <w:tc>
          <w:tcPr>
            <w:tcW w:type="dxa" w:w="34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能源管理法及其施行細則</w:t>
            </w:r>
          </w:p>
        </w:tc>
        <w:tc>
          <w:tcPr>
            <w:tcW w:type="dxa" w:w="2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經濟部</w:t>
            </w:r>
          </w:p>
        </w:tc>
        <w:tc>
          <w:tcPr>
            <w:tcW w:type="dxa" w:w="46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能源用戶之基本管理義務；指定能源用戶應設置能源管理人員、訂定節約能源目標及執行計畫並報請備查</w:t>
            </w:r>
          </w:p>
        </w:tc>
      </w:tr>
      <w:tr>
        <w:tc>
          <w:tcPr>
            <w:tcW w:type="dxa" w:w="34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指定能源用戶應遵行能源管理事項</w:t>
            </w:r>
          </w:p>
        </w:tc>
        <w:tc>
          <w:tcPr>
            <w:tcW w:type="dxa" w:w="2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經濟部</w:t>
            </w:r>
          </w:p>
        </w:tc>
        <w:tc>
          <w:tcPr>
            <w:tcW w:type="dxa" w:w="46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能源查核申報、能源使用資料申報之義務與期限</w:t>
            </w:r>
          </w:p>
        </w:tc>
      </w:tr>
      <w:tr>
        <w:tc>
          <w:tcPr>
            <w:tcW w:type="dxa" w:w="34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能源效率標示管理辦法</w:t>
            </w:r>
          </w:p>
        </w:tc>
        <w:tc>
          <w:tcPr>
            <w:tcW w:type="dxa" w:w="2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經濟部</w:t>
            </w:r>
          </w:p>
        </w:tc>
        <w:tc>
          <w:tcPr>
            <w:tcW w:type="dxa" w:w="46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採購應用產品時之能源效率標示查核；與 0410ATP0020 採購程序銜接</w:t>
            </w:r>
          </w:p>
        </w:tc>
      </w:tr>
      <w:tr>
        <w:tc>
          <w:tcPr>
            <w:tcW w:type="dxa" w:w="34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再生能源發展條例</w:t>
            </w:r>
          </w:p>
        </w:tc>
        <w:tc>
          <w:tcPr>
            <w:tcW w:type="dxa" w:w="2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經濟部</w:t>
            </w:r>
          </w:p>
        </w:tc>
        <w:tc>
          <w:tcPr>
            <w:tcW w:type="dxa" w:w="46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用電大戶條款：契約容量達一定規模者應設置再生能源發電設備、儲能設備或購買憑證、繳納代金</w:t>
            </w:r>
          </w:p>
        </w:tc>
      </w:tr>
      <w:tr>
        <w:tc>
          <w:tcPr>
            <w:tcW w:type="dxa" w:w="34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電業法、用戶用電設備裝置規則</w:t>
            </w:r>
          </w:p>
        </w:tc>
        <w:tc>
          <w:tcPr>
            <w:tcW w:type="dxa" w:w="2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經濟部</w:t>
            </w:r>
          </w:p>
        </w:tc>
        <w:tc>
          <w:tcPr>
            <w:tcW w:type="dxa" w:w="46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用戶用電設備之裝置與安全；受電設備之檢驗</w:t>
            </w:r>
          </w:p>
        </w:tc>
      </w:tr>
      <w:tr>
        <w:tc>
          <w:tcPr>
            <w:tcW w:type="dxa" w:w="34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用電設備檢驗維護業管理規則</w:t>
            </w:r>
          </w:p>
        </w:tc>
        <w:tc>
          <w:tcPr>
            <w:tcW w:type="dxa" w:w="2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經濟部</w:t>
            </w:r>
          </w:p>
        </w:tc>
        <w:tc>
          <w:tcPr>
            <w:tcW w:type="dxa" w:w="46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用電設備定期檢驗維護之委託與紀錄保存</w:t>
            </w:r>
          </w:p>
        </w:tc>
      </w:tr>
      <w:tr>
        <w:tc>
          <w:tcPr>
            <w:tcW w:type="dxa" w:w="34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氣候變遷因應法及其子法</w:t>
            </w:r>
          </w:p>
        </w:tc>
        <w:tc>
          <w:tcPr>
            <w:tcW w:type="dxa" w:w="2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環境部</w:t>
            </w:r>
          </w:p>
        </w:tc>
        <w:tc>
          <w:tcPr>
            <w:tcW w:type="dxa" w:w="46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溫室氣體排放量盤查登錄與查驗；淨零排放路徑之配合</w:t>
            </w:r>
          </w:p>
        </w:tc>
      </w:tr>
      <w:tr>
        <w:tc>
          <w:tcPr>
            <w:tcW w:type="dxa" w:w="34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空氣污染防制法</w:t>
            </w:r>
          </w:p>
        </w:tc>
        <w:tc>
          <w:tcPr>
            <w:tcW w:type="dxa" w:w="2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環境部</w:t>
            </w:r>
          </w:p>
        </w:tc>
        <w:tc>
          <w:tcPr>
            <w:tcW w:type="dxa" w:w="46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鍋爐等固定污染源之操作許可與排放標準</w:t>
            </w:r>
          </w:p>
        </w:tc>
      </w:tr>
      <w:tr>
        <w:tc>
          <w:tcPr>
            <w:tcW w:type="dxa" w:w="34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建築技術規則（綠建築基準）</w:t>
            </w:r>
          </w:p>
        </w:tc>
        <w:tc>
          <w:tcPr>
            <w:tcW w:type="dxa" w:w="22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內政部</w:t>
            </w:r>
          </w:p>
        </w:tc>
        <w:tc>
          <w:tcPr>
            <w:tcW w:type="dxa" w:w="46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新建、增建、改建工程之外殼節能、空調與照明節能設計</w:t>
            </w:r>
          </w:p>
        </w:tc>
      </w:tr>
    </w:tbl>
    <w:p>
      <w:pPr>
        <w:spacing w:after="0" w:before="0" w:line="120"/>
      </w:pPr>
    </w:p>
    <w:p>
      <w:pPr>
        <w:keepNext w:val="false"/>
        <w:spacing w:after="0" w:before="0" w:line="240"/>
        <w:ind w:left="960" w:hanging="240"/>
      </w:pPr>
      <w:r>
        <w:rPr>
          <w:rFonts w:ascii="標楷體" w:cs="標楷體" w:eastAsia="標楷體" w:hAnsi="標楷體"/>
          <w:b w:val="false"/>
          <w:bCs w:val="false"/>
          <w:sz w:val="24"/>
          <w:szCs w:val="24"/>
        </w:rPr>
        <w:t xml:space="preserve">6.3.2 前表所列法規之適用門檻（如指定能源用戶之契約容量或年用電量基準、用電大戶之契約容量基準），應以中央主管機關現行公告為準；本院應於每年守規性評估時，依當年度契約容量及用電量重新確認其適用性。</w:t>
      </w:r>
    </w:p>
    <w:p>
      <w:pPr>
        <w:keepNext w:val="false"/>
        <w:spacing w:after="0" w:before="0" w:line="240"/>
        <w:ind w:left="960" w:hanging="240"/>
      </w:pPr>
      <w:r>
        <w:rPr>
          <w:rFonts w:ascii="標楷體" w:cs="標楷體" w:eastAsia="標楷體" w:hAnsi="標楷體"/>
          <w:b w:val="false"/>
          <w:bCs w:val="false"/>
          <w:sz w:val="24"/>
          <w:szCs w:val="24"/>
        </w:rPr>
        <w:t xml:space="preserve">6.3.3 本院主要之其他要求事項如下：</w:t>
      </w:r>
    </w:p>
    <w:p>
      <w:pPr>
        <w:keepNext w:val="false"/>
        <w:spacing w:after="0" w:before="0" w:line="240"/>
        <w:ind w:left="1200" w:hanging="240"/>
      </w:pPr>
      <w:r>
        <w:rPr>
          <w:rFonts w:ascii="標楷體" w:cs="標楷體" w:eastAsia="標楷體" w:hAnsi="標楷體"/>
          <w:b w:val="false"/>
          <w:bCs w:val="false"/>
          <w:sz w:val="24"/>
          <w:szCs w:val="24"/>
        </w:rPr>
        <w:t xml:space="preserve">6.3.3.1 ISO 50001:2018 能源管理系統－附使用指引之要求事項（及我國等同採用之 CNS 50001:2020）。</w:t>
      </w:r>
    </w:p>
    <w:p>
      <w:pPr>
        <w:keepNext w:val="false"/>
        <w:spacing w:after="0" w:before="0" w:line="240"/>
        <w:ind w:left="1200" w:hanging="240"/>
      </w:pPr>
      <w:r>
        <w:rPr>
          <w:rFonts w:ascii="標楷體" w:cs="標楷體" w:eastAsia="標楷體" w:hAnsi="標楷體"/>
          <w:b w:val="false"/>
          <w:bCs w:val="false"/>
          <w:sz w:val="24"/>
          <w:szCs w:val="24"/>
        </w:rPr>
        <w:t xml:space="preserve">6.3.3.2 衛生福利部114年綠色醫療永續規劃暨教育訓練補助計畫所定之績效指標與執行要求。</w:t>
      </w:r>
    </w:p>
    <w:p>
      <w:pPr>
        <w:keepNext w:val="false"/>
        <w:spacing w:after="0" w:before="0" w:line="240"/>
        <w:ind w:left="1200" w:hanging="240"/>
      </w:pPr>
      <w:r>
        <w:rPr>
          <w:rFonts w:ascii="標楷體" w:cs="標楷體" w:eastAsia="標楷體" w:hAnsi="標楷體"/>
          <w:b w:val="false"/>
          <w:bCs w:val="false"/>
          <w:sz w:val="24"/>
          <w:szCs w:val="24"/>
        </w:rPr>
        <w:t xml:space="preserve">6.3.3.3 本院能源政策所宣示之承諾事項，載於 1D10ATQ0001 能源管理手冊第 6.2.3 節。</w:t>
      </w:r>
    </w:p>
    <w:p>
      <w:pPr>
        <w:keepNext w:val="false"/>
        <w:spacing w:after="0" w:before="0" w:line="240"/>
        <w:ind w:left="1200" w:hanging="240"/>
      </w:pPr>
      <w:r>
        <w:rPr>
          <w:rFonts w:ascii="標楷體" w:cs="標楷體" w:eastAsia="標楷體" w:hAnsi="標楷體"/>
          <w:b w:val="false"/>
          <w:bCs w:val="false"/>
          <w:sz w:val="24"/>
          <w:szCs w:val="24"/>
        </w:rPr>
        <w:t xml:space="preserve">6.3.3.4 與供應商、承攬商所訂契約中有關能源績效之約定事項。</w:t>
      </w:r>
    </w:p>
    <w:p>
      <w:pPr>
        <w:keepNext w:val="false"/>
        <w:spacing w:after="0" w:before="0" w:line="240"/>
        <w:ind w:left="1200" w:hanging="240"/>
      </w:pPr>
      <w:r>
        <w:rPr>
          <w:rFonts w:ascii="標楷體" w:cs="標楷體" w:eastAsia="標楷體" w:hAnsi="標楷體"/>
          <w:b w:val="false"/>
          <w:bCs w:val="false"/>
          <w:sz w:val="24"/>
          <w:szCs w:val="24"/>
        </w:rPr>
        <w:t xml:space="preserve">6.3.3.5 醫院評鑑及其他外部評核中，與能源或環境永續相關之基準。</w:t>
      </w:r>
    </w:p>
    <w:p>
      <w:pPr>
        <w:keepNext w:val="false"/>
        <w:spacing w:after="0" w:before="50" w:line="240"/>
        <w:ind w:left="720" w:hanging="240"/>
      </w:pPr>
      <w:r>
        <w:rPr>
          <w:rFonts w:ascii="標楷體" w:cs="標楷體" w:eastAsia="標楷體" w:hAnsi="標楷體"/>
          <w:b w:val="false"/>
          <w:bCs w:val="false"/>
          <w:sz w:val="24"/>
          <w:szCs w:val="24"/>
        </w:rPr>
        <w:t xml:space="preserve">6.4 宣導與溝通</w:t>
      </w:r>
    </w:p>
    <w:p>
      <w:pPr>
        <w:keepNext w:val="false"/>
        <w:spacing w:after="0" w:before="0" w:line="240"/>
        <w:ind w:left="960" w:hanging="240"/>
      </w:pPr>
      <w:r>
        <w:rPr>
          <w:rFonts w:ascii="標楷體" w:cs="標楷體" w:eastAsia="標楷體" w:hAnsi="標楷體"/>
          <w:b w:val="false"/>
          <w:bCs w:val="false"/>
          <w:sz w:val="24"/>
          <w:szCs w:val="24"/>
        </w:rPr>
        <w:t xml:space="preserve">6.4.1 法規或其他要求事項與同仁作業有關時，應將其內容傳達予相關同仁知悉。</w:t>
      </w:r>
    </w:p>
    <w:p>
      <w:pPr>
        <w:keepNext w:val="false"/>
        <w:spacing w:after="0" w:before="0" w:line="240"/>
        <w:ind w:left="960" w:hanging="240"/>
      </w:pPr>
      <w:r>
        <w:rPr>
          <w:rFonts w:ascii="標楷體" w:cs="標楷體" w:eastAsia="標楷體" w:hAnsi="標楷體"/>
          <w:b w:val="false"/>
          <w:bCs w:val="false"/>
          <w:sz w:val="24"/>
          <w:szCs w:val="24"/>
        </w:rPr>
        <w:t xml:space="preserve">6.4.2 宣導方式包括本院 EIP 平台公告、教育訓練、部門會議、工作教導，或以作業管制方式納入作業程序控管。</w:t>
      </w:r>
    </w:p>
    <w:p>
      <w:pPr>
        <w:keepNext w:val="false"/>
        <w:spacing w:after="0" w:before="0" w:line="240"/>
        <w:ind w:left="960" w:hanging="240"/>
      </w:pPr>
      <w:r>
        <w:rPr>
          <w:rFonts w:ascii="標楷體" w:cs="標楷體" w:eastAsia="標楷體" w:hAnsi="標楷體"/>
          <w:b w:val="false"/>
          <w:bCs w:val="false"/>
          <w:sz w:val="24"/>
          <w:szCs w:val="24"/>
        </w:rPr>
        <w:t xml:space="preserve">6.4.3 法規宣導紀錄應保存，作為 ISO 50001:2018 條款 7.3 認知之佐證。</w:t>
      </w:r>
    </w:p>
    <w:p>
      <w:pPr>
        <w:keepNext w:val="false"/>
        <w:spacing w:after="0" w:before="50" w:line="240"/>
        <w:ind w:left="720" w:hanging="240"/>
      </w:pPr>
      <w:r>
        <w:rPr>
          <w:rFonts w:ascii="標楷體" w:cs="標楷體" w:eastAsia="標楷體" w:hAnsi="標楷體"/>
          <w:b w:val="false"/>
          <w:bCs w:val="false"/>
          <w:sz w:val="24"/>
          <w:szCs w:val="24"/>
        </w:rPr>
        <w:t xml:space="preserve">6.5 更新</w:t>
      </w:r>
    </w:p>
    <w:p>
      <w:pPr>
        <w:keepNext w:val="false"/>
        <w:spacing w:after="0" w:before="0" w:line="240"/>
        <w:ind w:left="960" w:hanging="240"/>
      </w:pPr>
      <w:r>
        <w:rPr>
          <w:rFonts w:ascii="標楷體" w:cs="標楷體" w:eastAsia="標楷體" w:hAnsi="標楷體"/>
          <w:b w:val="false"/>
          <w:bCs w:val="false"/>
          <w:sz w:val="24"/>
          <w:szCs w:val="24"/>
        </w:rPr>
        <w:t xml:space="preserve">6.5.1 有下列情形之一者，應主動查驗法規及其他要求事項之更新狀況：</w:t>
      </w:r>
    </w:p>
    <w:p>
      <w:pPr>
        <w:keepNext w:val="false"/>
        <w:spacing w:after="0" w:before="0" w:line="240"/>
        <w:ind w:left="1200" w:hanging="240"/>
      </w:pPr>
      <w:r>
        <w:rPr>
          <w:rFonts w:ascii="標楷體" w:cs="標楷體" w:eastAsia="標楷體" w:hAnsi="標楷體"/>
          <w:b w:val="false"/>
          <w:bCs w:val="false"/>
          <w:sz w:val="24"/>
          <w:szCs w:val="24"/>
        </w:rPr>
        <w:t xml:space="preserve">6.5.1.1 主管機關來文或公告修訂法令規章時。</w:t>
      </w:r>
    </w:p>
    <w:p>
      <w:pPr>
        <w:keepNext w:val="false"/>
        <w:spacing w:after="0" w:before="0" w:line="240"/>
        <w:ind w:left="1200" w:hanging="240"/>
      </w:pPr>
      <w:r>
        <w:rPr>
          <w:rFonts w:ascii="標楷體" w:cs="標楷體" w:eastAsia="標楷體" w:hAnsi="標楷體"/>
          <w:b w:val="false"/>
          <w:bCs w:val="false"/>
          <w:sz w:val="24"/>
          <w:szCs w:val="24"/>
        </w:rPr>
        <w:t xml:space="preserve">6.5.1.2 每年至少定期查詢一次，確認適用法規是否更新。</w:t>
      </w:r>
    </w:p>
    <w:p>
      <w:pPr>
        <w:keepNext w:val="false"/>
        <w:spacing w:after="0" w:before="0" w:line="240"/>
        <w:ind w:left="1200" w:hanging="240"/>
      </w:pPr>
      <w:r>
        <w:rPr>
          <w:rFonts w:ascii="標楷體" w:cs="標楷體" w:eastAsia="標楷體" w:hAnsi="標楷體"/>
          <w:b w:val="false"/>
          <w:bCs w:val="false"/>
          <w:sz w:val="24"/>
          <w:szCs w:val="24"/>
        </w:rPr>
        <w:t xml:space="preserve">6.5.1.3 其他要求事項於協議內容變更時。</w:t>
      </w:r>
    </w:p>
    <w:p>
      <w:pPr>
        <w:keepNext w:val="false"/>
        <w:spacing w:after="0" w:before="0" w:line="240"/>
        <w:ind w:left="1200" w:hanging="240"/>
      </w:pPr>
      <w:r>
        <w:rPr>
          <w:rFonts w:ascii="標楷體" w:cs="標楷體" w:eastAsia="標楷體" w:hAnsi="標楷體"/>
          <w:b w:val="false"/>
          <w:bCs w:val="false"/>
          <w:sz w:val="24"/>
          <w:szCs w:val="24"/>
        </w:rPr>
        <w:t xml:space="preserve">6.5.1.4 本院設施設備、作業活動或契約容量有重大變更，致法規適用性改變時。</w:t>
      </w:r>
    </w:p>
    <w:p>
      <w:pPr>
        <w:keepNext w:val="false"/>
        <w:spacing w:after="0" w:before="0" w:line="240"/>
        <w:ind w:left="960" w:hanging="240"/>
      </w:pPr>
      <w:r>
        <w:rPr>
          <w:rFonts w:ascii="標楷體" w:cs="標楷體" w:eastAsia="標楷體" w:hAnsi="標楷體"/>
          <w:b w:val="false"/>
          <w:bCs w:val="false"/>
          <w:sz w:val="24"/>
          <w:szCs w:val="24"/>
        </w:rPr>
        <w:t xml:space="preserve">6.5.2 適用之法規或其他要求事項更新時，應取得更新後全文並簽會各相關單位；適用時由各單位據以修訂相關文件或作業規範。</w:t>
      </w:r>
    </w:p>
    <w:p>
      <w:pPr>
        <w:keepNext w:val="false"/>
        <w:spacing w:after="0" w:before="0" w:line="240"/>
        <w:ind w:left="960" w:hanging="240"/>
      </w:pPr>
      <w:r>
        <w:rPr>
          <w:rFonts w:ascii="標楷體" w:cs="標楷體" w:eastAsia="標楷體" w:hAnsi="標楷體"/>
          <w:b w:val="false"/>
          <w:bCs w:val="false"/>
          <w:sz w:val="24"/>
          <w:szCs w:val="24"/>
        </w:rPr>
        <w:t xml:space="preserve">6.5.3 更新附件一之公布日期與適用條文，並依會簽結果修訂附件二「法規符合性查驗表」。</w:t>
      </w:r>
    </w:p>
    <w:p>
      <w:pPr>
        <w:keepNext w:val="false"/>
        <w:spacing w:after="0" w:before="0" w:line="240"/>
        <w:ind w:left="960" w:hanging="240"/>
      </w:pPr>
      <w:r>
        <w:rPr>
          <w:rFonts w:ascii="標楷體" w:cs="標楷體" w:eastAsia="標楷體" w:hAnsi="標楷體"/>
          <w:b w:val="false"/>
          <w:bCs w:val="false"/>
          <w:sz w:val="24"/>
          <w:szCs w:val="24"/>
        </w:rPr>
        <w:t xml:space="preserve">6.5.4 適用單位應以訓練、會議、宣導或工作教導方式，使相關同仁認知修正內容。</w:t>
      </w:r>
    </w:p>
    <w:p>
      <w:pPr>
        <w:keepNext w:val="false"/>
        <w:spacing w:after="0" w:before="0" w:line="240"/>
        <w:ind w:left="960" w:hanging="240"/>
      </w:pPr>
      <w:r>
        <w:rPr>
          <w:rFonts w:ascii="標楷體" w:cs="標楷體" w:eastAsia="標楷體" w:hAnsi="標楷體"/>
          <w:b w:val="false"/>
          <w:bCs w:val="false"/>
          <w:sz w:val="24"/>
          <w:szCs w:val="24"/>
        </w:rPr>
        <w:t xml:space="preserve">6.5.5 法規更新致本院既有作業須調整者，應評估其對能源目標、能源標的、行動計畫及風險評估之影響，分別依 1D10ATP0066 及 1D10ATP0059 辦理。</w:t>
      </w:r>
    </w:p>
    <w:p>
      <w:pPr>
        <w:keepNext w:val="false"/>
        <w:spacing w:after="0" w:before="50" w:line="240"/>
        <w:ind w:left="720" w:hanging="240"/>
      </w:pPr>
      <w:r>
        <w:rPr>
          <w:rFonts w:ascii="標楷體" w:cs="標楷體" w:eastAsia="標楷體" w:hAnsi="標楷體"/>
          <w:b w:val="false"/>
          <w:bCs w:val="false"/>
          <w:sz w:val="24"/>
          <w:szCs w:val="24"/>
        </w:rPr>
        <w:t xml:space="preserve">6.6 守規性評估（條款 9.1.2）</w:t>
      </w:r>
    </w:p>
    <w:p>
      <w:pPr>
        <w:keepNext w:val="false"/>
        <w:spacing w:after="0" w:before="0" w:line="240"/>
        <w:ind w:left="960" w:hanging="240"/>
      </w:pPr>
      <w:r>
        <w:rPr>
          <w:rFonts w:ascii="標楷體" w:cs="標楷體" w:eastAsia="標楷體" w:hAnsi="標楷體"/>
          <w:b w:val="false"/>
          <w:bCs w:val="false"/>
          <w:sz w:val="24"/>
          <w:szCs w:val="24"/>
        </w:rPr>
        <w:t xml:space="preserve">6.6.1 評估時機：</w:t>
      </w:r>
    </w:p>
    <w:p>
      <w:pPr>
        <w:keepNext w:val="false"/>
        <w:spacing w:after="0" w:before="0" w:line="240"/>
        <w:ind w:left="1200" w:hanging="240"/>
      </w:pPr>
      <w:r>
        <w:rPr>
          <w:rFonts w:ascii="標楷體" w:cs="標楷體" w:eastAsia="標楷體" w:hAnsi="標楷體"/>
          <w:b w:val="false"/>
          <w:bCs w:val="false"/>
          <w:sz w:val="24"/>
          <w:szCs w:val="24"/>
        </w:rPr>
        <w:t xml:space="preserve">6.6.1.1 能源管理系統建置初期。</w:t>
      </w:r>
    </w:p>
    <w:p>
      <w:pPr>
        <w:keepNext w:val="false"/>
        <w:spacing w:after="0" w:before="0" w:line="240"/>
        <w:ind w:left="1200" w:hanging="240"/>
      </w:pPr>
      <w:r>
        <w:rPr>
          <w:rFonts w:ascii="標楷體" w:cs="標楷體" w:eastAsia="標楷體" w:hAnsi="標楷體"/>
          <w:b w:val="false"/>
          <w:bCs w:val="false"/>
          <w:sz w:val="24"/>
          <w:szCs w:val="24"/>
        </w:rPr>
        <w:t xml:space="preserve">6.6.1.2 適用之法規或其他要求事項更新時，就更新部分辦理。</w:t>
      </w:r>
    </w:p>
    <w:p>
      <w:pPr>
        <w:keepNext w:val="false"/>
        <w:spacing w:after="0" w:before="0" w:line="240"/>
        <w:ind w:left="1200" w:hanging="240"/>
      </w:pPr>
      <w:r>
        <w:rPr>
          <w:rFonts w:ascii="標楷體" w:cs="標楷體" w:eastAsia="標楷體" w:hAnsi="標楷體"/>
          <w:b w:val="false"/>
          <w:bCs w:val="false"/>
          <w:sz w:val="24"/>
          <w:szCs w:val="24"/>
        </w:rPr>
        <w:t xml:space="preserve">6.6.1.3 作業活動或設施設備變更時，就變更部分辦理。</w:t>
      </w:r>
    </w:p>
    <w:p>
      <w:pPr>
        <w:keepNext w:val="false"/>
        <w:spacing w:after="0" w:before="0" w:line="240"/>
        <w:ind w:left="1200" w:hanging="240"/>
      </w:pPr>
      <w:r>
        <w:rPr>
          <w:rFonts w:ascii="標楷體" w:cs="標楷體" w:eastAsia="標楷體" w:hAnsi="標楷體"/>
          <w:b w:val="false"/>
          <w:bCs w:val="false"/>
          <w:sz w:val="24"/>
          <w:szCs w:val="24"/>
        </w:rPr>
        <w:t xml:space="preserve">6.6.1.4 每年於管理階層審查前，定期辦理一次全面性守規性評估。</w:t>
      </w:r>
    </w:p>
    <w:p>
      <w:pPr>
        <w:keepNext w:val="false"/>
        <w:spacing w:after="0" w:before="0" w:line="240"/>
        <w:ind w:left="960" w:hanging="240"/>
      </w:pPr>
      <w:r>
        <w:rPr>
          <w:rFonts w:ascii="標楷體" w:cs="標楷體" w:eastAsia="標楷體" w:hAnsi="標楷體"/>
          <w:b w:val="false"/>
          <w:bCs w:val="false"/>
          <w:sz w:val="24"/>
          <w:szCs w:val="24"/>
        </w:rPr>
        <w:t xml:space="preserve">6.6.2 評估範圍：附件一所列全部適用之法規要求事項及其他要求事項。</w:t>
      </w:r>
    </w:p>
    <w:p>
      <w:pPr>
        <w:keepNext w:val="false"/>
        <w:spacing w:after="0" w:before="0" w:line="240"/>
        <w:ind w:left="960" w:hanging="240"/>
      </w:pPr>
      <w:r>
        <w:rPr>
          <w:rFonts w:ascii="標楷體" w:cs="標楷體" w:eastAsia="標楷體" w:hAnsi="標楷體"/>
          <w:b w:val="false"/>
          <w:bCs w:val="false"/>
          <w:sz w:val="24"/>
          <w:szCs w:val="24"/>
        </w:rPr>
        <w:t xml:space="preserve">6.6.3 評估方式：逐條確認本院執行現況，就適用性（適用／N/A）與符合性（符合／不符合）分別評定，並敘明現況說明，登錄於附件二。</w:t>
      </w:r>
    </w:p>
    <w:p>
      <w:pPr>
        <w:keepNext w:val="false"/>
        <w:spacing w:after="0" w:before="0" w:line="240"/>
        <w:ind w:left="960" w:hanging="240"/>
      </w:pPr>
      <w:r>
        <w:rPr>
          <w:rFonts w:ascii="標楷體" w:cs="標楷體" w:eastAsia="標楷體" w:hAnsi="標楷體"/>
          <w:b w:val="false"/>
          <w:bCs w:val="false"/>
          <w:sz w:val="24"/>
          <w:szCs w:val="24"/>
        </w:rPr>
        <w:t xml:space="preserve">6.6.4 評估應有客觀佐證，包括申報備查函文、檢驗維護紀錄、量測數據、契約文件或現場查證紀錄。</w:t>
      </w:r>
    </w:p>
    <w:p>
      <w:pPr>
        <w:keepNext w:val="false"/>
        <w:spacing w:after="0" w:before="0" w:line="240"/>
        <w:ind w:left="960" w:hanging="240"/>
      </w:pPr>
      <w:r>
        <w:rPr>
          <w:rFonts w:ascii="標楷體" w:cs="標楷體" w:eastAsia="標楷體" w:hAnsi="標楷體"/>
          <w:b w:val="false"/>
          <w:bCs w:val="false"/>
          <w:sz w:val="24"/>
          <w:szCs w:val="24"/>
        </w:rPr>
        <w:t xml:space="preserve">6.6.5 評估結果經能源管理盤查小組審議後，陳 ISO 50001管理代表核定，並提報管理階層審查。</w:t>
      </w:r>
    </w:p>
    <w:p>
      <w:pPr>
        <w:keepNext w:val="false"/>
        <w:spacing w:after="0" w:before="50" w:line="240"/>
        <w:ind w:left="720" w:hanging="240"/>
      </w:pPr>
      <w:r>
        <w:rPr>
          <w:rFonts w:ascii="標楷體" w:cs="標楷體" w:eastAsia="標楷體" w:hAnsi="標楷體"/>
          <w:b w:val="false"/>
          <w:bCs w:val="false"/>
          <w:sz w:val="24"/>
          <w:szCs w:val="24"/>
        </w:rPr>
        <w:t xml:space="preserve">6.7 不符合事項之處理</w:t>
      </w:r>
    </w:p>
    <w:p>
      <w:pPr>
        <w:keepNext w:val="false"/>
        <w:spacing w:after="0" w:before="0" w:line="240"/>
        <w:ind w:left="960" w:hanging="240"/>
      </w:pPr>
      <w:r>
        <w:rPr>
          <w:rFonts w:ascii="標楷體" w:cs="標楷體" w:eastAsia="標楷體" w:hAnsi="標楷體"/>
          <w:b w:val="false"/>
          <w:bCs w:val="false"/>
          <w:sz w:val="24"/>
          <w:szCs w:val="24"/>
        </w:rPr>
        <w:t xml:space="preserve">6.7.1 現況作業經評估不符合法規要求者，應提報能源管理盤查小組，擬定對應之矯正管理措施，並明定完成期限與責任單位。</w:t>
      </w:r>
    </w:p>
    <w:p>
      <w:pPr>
        <w:keepNext w:val="false"/>
        <w:spacing w:after="0" w:before="0" w:line="240"/>
        <w:ind w:left="960" w:hanging="240"/>
      </w:pPr>
      <w:r>
        <w:rPr>
          <w:rFonts w:ascii="標楷體" w:cs="標楷體" w:eastAsia="標楷體" w:hAnsi="標楷體"/>
          <w:b w:val="false"/>
          <w:bCs w:val="false"/>
          <w:sz w:val="24"/>
          <w:szCs w:val="24"/>
        </w:rPr>
        <w:t xml:space="preserve">6.7.2 涉及主管機關限期改善者，應優先辦理，並於期限內完成改善及回復。</w:t>
      </w:r>
    </w:p>
    <w:p>
      <w:pPr>
        <w:keepNext w:val="false"/>
        <w:spacing w:after="0" w:before="0" w:line="240"/>
        <w:ind w:left="960" w:hanging="240"/>
      </w:pPr>
      <w:r>
        <w:rPr>
          <w:rFonts w:ascii="標楷體" w:cs="標楷體" w:eastAsia="標楷體" w:hAnsi="標楷體"/>
          <w:b w:val="false"/>
          <w:bCs w:val="false"/>
          <w:sz w:val="24"/>
          <w:szCs w:val="24"/>
        </w:rPr>
        <w:t xml:space="preserve">6.7.3 矯正管理措施之執行與有效性確認，依 1D10ATQ0001 能源管理手冊 6.7.1 辦理。</w:t>
      </w:r>
    </w:p>
    <w:p>
      <w:pPr>
        <w:keepNext w:val="false"/>
        <w:spacing w:after="0" w:before="0" w:line="240"/>
        <w:ind w:left="960" w:hanging="240"/>
      </w:pPr>
      <w:r>
        <w:rPr>
          <w:rFonts w:ascii="標楷體" w:cs="標楷體" w:eastAsia="標楷體" w:hAnsi="標楷體"/>
          <w:b w:val="false"/>
          <w:bCs w:val="false"/>
          <w:sz w:val="24"/>
          <w:szCs w:val="24"/>
        </w:rPr>
        <w:t xml:space="preserve">6.7.4 不符合事項及其處理結果，應納入風險評估，依 1D10ATP0059 辦理。</w:t>
      </w:r>
    </w:p>
    <w:p>
      <w:pPr>
        <w:keepNext w:val="false"/>
        <w:spacing w:after="0" w:before="0" w:line="240"/>
        <w:ind w:left="960" w:hanging="240"/>
      </w:pPr>
      <w:r>
        <w:rPr>
          <w:rFonts w:ascii="標楷體" w:cs="標楷體" w:eastAsia="標楷體" w:hAnsi="標楷體"/>
          <w:b w:val="false"/>
          <w:bCs w:val="false"/>
          <w:sz w:val="24"/>
          <w:szCs w:val="24"/>
        </w:rPr>
        <w:t xml:space="preserve">6.7.5 不符合事項於改善完成前，應列入能源管理盤查小組定期會議追蹤管制。</w:t>
      </w:r>
    </w:p>
    <w:p>
      <w:pPr>
        <w:keepNext w:val="false"/>
        <w:spacing w:after="0" w:before="50" w:line="240"/>
        <w:ind w:left="720" w:hanging="240"/>
      </w:pPr>
      <w:r>
        <w:rPr>
          <w:rFonts w:ascii="標楷體" w:cs="標楷體" w:eastAsia="標楷體" w:hAnsi="標楷體"/>
          <w:b w:val="false"/>
          <w:bCs w:val="false"/>
          <w:sz w:val="24"/>
          <w:szCs w:val="24"/>
        </w:rPr>
        <w:t xml:space="preserve">6.8 與其他程序之銜接</w:t>
      </w:r>
    </w:p>
    <w:p>
      <w:pPr>
        <w:keepNext w:val="false"/>
        <w:spacing w:after="0" w:before="0" w:line="240"/>
        <w:ind w:left="960" w:hanging="240"/>
      </w:pPr>
      <w:r>
        <w:rPr>
          <w:rFonts w:ascii="標楷體" w:cs="標楷體" w:eastAsia="標楷體" w:hAnsi="標楷體"/>
          <w:b w:val="false"/>
          <w:bCs w:val="false"/>
          <w:sz w:val="24"/>
          <w:szCs w:val="24"/>
        </w:rPr>
        <w:t xml:space="preserve">6.8.1 法規要求事項所定之量化值，應納入監督與量測項目，依 1D10ATP0046 辦理。</w:t>
      </w:r>
    </w:p>
    <w:p>
      <w:pPr>
        <w:keepNext w:val="false"/>
        <w:spacing w:after="0" w:before="0" w:line="240"/>
        <w:ind w:left="960" w:hanging="240"/>
      </w:pPr>
      <w:r>
        <w:rPr>
          <w:rFonts w:ascii="標楷體" w:cs="標楷體" w:eastAsia="標楷體" w:hAnsi="標楷體"/>
          <w:b w:val="false"/>
          <w:bCs w:val="false"/>
          <w:sz w:val="24"/>
          <w:szCs w:val="24"/>
        </w:rPr>
        <w:t xml:space="preserve">6.8.2 法規不符合事項或法規趨嚴所生之風險，應納入目標與能源標的之來源，依 1D10ATP0066 辦理。</w:t>
      </w:r>
    </w:p>
    <w:p>
      <w:pPr>
        <w:keepNext w:val="false"/>
        <w:spacing w:after="0" w:before="0" w:line="240"/>
        <w:ind w:left="960" w:hanging="240"/>
      </w:pPr>
      <w:r>
        <w:rPr>
          <w:rFonts w:ascii="標楷體" w:cs="標楷體" w:eastAsia="標楷體" w:hAnsi="標楷體"/>
          <w:b w:val="false"/>
          <w:bCs w:val="false"/>
          <w:sz w:val="24"/>
          <w:szCs w:val="24"/>
        </w:rPr>
        <w:t xml:space="preserve">6.8.3 能源審查或績效量測後，應將資訊轉換為中央主管機關所定之能源查核制度、節約能源目標及執行計畫，報請核備，其資料來源依 1D10ATP0048 辦理。</w:t>
      </w:r>
    </w:p>
    <w:p>
      <w:pPr>
        <w:keepNext w:val="false"/>
        <w:spacing w:after="0" w:before="0" w:line="240"/>
        <w:ind w:left="960" w:hanging="240"/>
      </w:pPr>
      <w:r>
        <w:rPr>
          <w:rFonts w:ascii="標楷體" w:cs="標楷體" w:eastAsia="標楷體" w:hAnsi="標楷體"/>
          <w:b w:val="false"/>
          <w:bCs w:val="false"/>
          <w:sz w:val="24"/>
          <w:szCs w:val="24"/>
        </w:rPr>
        <w:t xml:space="preserve">6.8.4 設施設備變更致法規適用性改變者，依 1D10ATP0050 辦理。</w:t>
      </w:r>
    </w:p>
    <w:p>
      <w:pPr>
        <w:keepNext w:val="false"/>
        <w:spacing w:after="0" w:before="50" w:line="240"/>
        <w:ind w:left="720" w:hanging="240"/>
      </w:pPr>
      <w:r>
        <w:rPr>
          <w:rFonts w:ascii="標楷體" w:cs="標楷體" w:eastAsia="標楷體" w:hAnsi="標楷體"/>
          <w:b w:val="false"/>
          <w:bCs w:val="false"/>
          <w:sz w:val="24"/>
          <w:szCs w:val="24"/>
        </w:rPr>
        <w:t xml:space="preserve">6.9 文件化資訊之保存</w:t>
      </w:r>
    </w:p>
    <w:p>
      <w:pPr>
        <w:keepNext w:val="false"/>
        <w:spacing w:after="0" w:before="0" w:line="240"/>
        <w:ind w:left="960" w:hanging="240"/>
      </w:pPr>
      <w:r>
        <w:rPr>
          <w:rFonts w:ascii="標楷體" w:cs="標楷體" w:eastAsia="標楷體" w:hAnsi="標楷體"/>
          <w:b w:val="false"/>
          <w:bCs w:val="false"/>
          <w:sz w:val="24"/>
          <w:szCs w:val="24"/>
        </w:rPr>
        <w:t xml:space="preserve">6.9.1 附件一適用法規及其他要求事項清單，應保存最新版本；歷次版本併同保存以供追溯。</w:t>
      </w:r>
    </w:p>
    <w:p>
      <w:pPr>
        <w:keepNext w:val="false"/>
        <w:spacing w:after="0" w:before="0" w:line="240"/>
        <w:ind w:left="960" w:hanging="240"/>
      </w:pPr>
      <w:r>
        <w:rPr>
          <w:rFonts w:ascii="標楷體" w:cs="標楷體" w:eastAsia="標楷體" w:hAnsi="標楷體"/>
          <w:b w:val="false"/>
          <w:bCs w:val="false"/>
          <w:sz w:val="24"/>
          <w:szCs w:val="24"/>
        </w:rPr>
        <w:t xml:space="preserve">6.9.2 附件二法規符合性查驗表及相關佐證資料，保存年限至少三年。</w:t>
      </w:r>
    </w:p>
    <w:p>
      <w:pPr>
        <w:keepNext w:val="false"/>
        <w:spacing w:after="0" w:before="0" w:line="240"/>
        <w:ind w:left="960" w:hanging="240"/>
      </w:pPr>
      <w:r>
        <w:rPr>
          <w:rFonts w:ascii="標楷體" w:cs="標楷體" w:eastAsia="標楷體" w:hAnsi="標楷體"/>
          <w:b w:val="false"/>
          <w:bCs w:val="false"/>
          <w:sz w:val="24"/>
          <w:szCs w:val="24"/>
        </w:rPr>
        <w:t xml:space="preserve">6.9.3 電子媒體之文件化資訊，應建立資料夾並以年度識別更新，必要時設置密碼與權限管制。</w:t>
      </w:r>
    </w:p>
    <w:p>
      <w:pPr>
        <w:keepNext w:val="false"/>
        <w:spacing w:after="0" w:before="0" w:line="240"/>
        <w:ind w:left="960" w:hanging="240"/>
      </w:pPr>
      <w:r>
        <w:rPr>
          <w:rFonts w:ascii="標楷體" w:cs="標楷體" w:eastAsia="標楷體" w:hAnsi="標楷體"/>
          <w:b w:val="false"/>
          <w:bCs w:val="false"/>
          <w:sz w:val="24"/>
          <w:szCs w:val="24"/>
        </w:rPr>
        <w:t xml:space="preserve">6.9.4 前三項依 0220ATP0001 文件制定與管制作業辦法辦理管制。</w:t>
      </w:r>
    </w:p>
    <w:p>
      <w:pPr>
        <w:keepNext/>
        <w:spacing w:after="50" w:before="150" w:line="240"/>
      </w:pPr>
      <w:r>
        <w:rPr>
          <w:rFonts w:ascii="標楷體" w:cs="標楷體" w:eastAsia="標楷體" w:hAnsi="標楷體"/>
          <w:b/>
          <w:bCs/>
          <w:sz w:val="24"/>
          <w:szCs w:val="24"/>
        </w:rPr>
        <w:t xml:space="preserve">7.流 程 圖：</w:t>
      </w:r>
    </w:p>
    <w:p>
      <w:pPr>
        <w:keepNext w:val="false"/>
        <w:spacing w:after="0" w:before="50" w:line="240"/>
        <w:ind w:left="720" w:hanging="240"/>
      </w:pPr>
      <w:r>
        <w:rPr>
          <w:rFonts w:ascii="標楷體" w:cs="標楷體" w:eastAsia="標楷體" w:hAnsi="標楷體"/>
          <w:b w:val="false"/>
          <w:bCs w:val="false"/>
          <w:sz w:val="24"/>
          <w:szCs w:val="24"/>
        </w:rPr>
        <w:t xml:space="preserve">7.1 能源法規鑑別與符合性查核作業流程如下圖。</w:t>
      </w:r>
    </w:p>
    <w:p>
      <w:pPr>
        <w:spacing w:after="100" w:before="100"/>
        <w:jc w:val="center"/>
      </w:pPr>
      <w:r>
        <w:drawing>
          <wp:inline distT="0" distB="0" distL="0" distR="0">
            <wp:extent cx="447675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362450"/>
                    </a:xfrm>
                    <a:prstGeom prst="rect">
                      <a:avLst/>
                    </a:prstGeom>
                  </pic:spPr>
                </pic:pic>
              </a:graphicData>
            </a:graphic>
          </wp:inline>
        </w:drawing>
      </w:r>
    </w:p>
    <w:p>
      <w:pPr>
        <w:keepNext/>
        <w:spacing w:after="50" w:before="150" w:line="240"/>
      </w:pPr>
      <w:r>
        <w:rPr>
          <w:rFonts w:ascii="標楷體" w:cs="標楷體" w:eastAsia="標楷體" w:hAnsi="標楷體"/>
          <w:b/>
          <w:bCs/>
          <w:sz w:val="24"/>
          <w:szCs w:val="24"/>
        </w:rPr>
        <w:t xml:space="preserve">8.稽核機制：</w:t>
      </w:r>
    </w:p>
    <w:p>
      <w:pPr>
        <w:keepNext w:val="false"/>
        <w:spacing w:after="0" w:before="50" w:line="240"/>
        <w:ind w:left="720" w:hanging="240"/>
      </w:pPr>
      <w:r>
        <w:rPr>
          <w:rFonts w:ascii="標楷體" w:cs="標楷體" w:eastAsia="標楷體" w:hAnsi="標楷體"/>
          <w:b w:val="false"/>
          <w:bCs w:val="false"/>
          <w:sz w:val="24"/>
          <w:szCs w:val="24"/>
        </w:rPr>
        <w:t xml:space="preserve">8.1 權責人員：內部稽核員。</w:t>
      </w:r>
    </w:p>
    <w:p>
      <w:pPr>
        <w:keepNext w:val="false"/>
        <w:spacing w:after="0" w:before="50" w:line="240"/>
        <w:ind w:left="720" w:hanging="240"/>
      </w:pPr>
      <w:r>
        <w:rPr>
          <w:rFonts w:ascii="標楷體" w:cs="標楷體" w:eastAsia="標楷體" w:hAnsi="標楷體"/>
          <w:b w:val="false"/>
          <w:bCs w:val="false"/>
          <w:sz w:val="24"/>
          <w:szCs w:val="24"/>
        </w:rPr>
        <w:t xml:space="preserve">8.2 稽核時機：每年至少一次，並於當年度管理階層審查前完成。</w:t>
      </w:r>
    </w:p>
    <w:p>
      <w:pPr>
        <w:keepNext w:val="false"/>
        <w:spacing w:after="0" w:before="50" w:line="240"/>
        <w:ind w:left="720" w:hanging="240"/>
      </w:pPr>
      <w:r>
        <w:rPr>
          <w:rFonts w:ascii="標楷體" w:cs="標楷體" w:eastAsia="標楷體" w:hAnsi="標楷體"/>
          <w:b w:val="false"/>
          <w:bCs w:val="false"/>
          <w:sz w:val="24"/>
          <w:szCs w:val="24"/>
        </w:rPr>
        <w:t xml:space="preserve">8.3 稽核工具：適用法規及其他要求事項清單、法規符合性查驗表、申報備查函文、檢驗維護紀錄、能源管理盤查小組會議紀錄。</w:t>
      </w:r>
    </w:p>
    <w:p>
      <w:pPr>
        <w:keepNext w:val="false"/>
        <w:spacing w:after="0" w:before="50" w:line="240"/>
        <w:ind w:left="720" w:hanging="240"/>
      </w:pPr>
      <w:r>
        <w:rPr>
          <w:rFonts w:ascii="標楷體" w:cs="標楷體" w:eastAsia="標楷體" w:hAnsi="標楷體"/>
          <w:b w:val="false"/>
          <w:bCs w:val="false"/>
          <w:sz w:val="24"/>
          <w:szCs w:val="24"/>
        </w:rPr>
        <w:t xml:space="preserve">8.4 稽核重點：法規清單是否於年度內完成更新查驗；不適用之法規是否註明理由；守規性評估是否逐條有佐證；不符合事項是否均有矯正措施並追蹤結案；指定能源用戶之申報義務是否依期限完成。</w:t>
      </w:r>
    </w:p>
    <w:p>
      <w:pPr>
        <w:keepNext/>
        <w:spacing w:after="50" w:before="150" w:line="240"/>
      </w:pPr>
      <w:r>
        <w:rPr>
          <w:rFonts w:ascii="標楷體" w:cs="標楷體" w:eastAsia="標楷體" w:hAnsi="標楷體"/>
          <w:b/>
          <w:bCs/>
          <w:sz w:val="24"/>
          <w:szCs w:val="24"/>
        </w:rPr>
        <w:t xml:space="preserve">9.記　　錄：</w:t>
      </w:r>
    </w:p>
    <w:p>
      <w:pPr>
        <w:keepNext w:val="false"/>
        <w:spacing w:after="0" w:before="50" w:line="240"/>
        <w:ind w:left="720" w:hanging="240"/>
      </w:pPr>
      <w:r>
        <w:rPr>
          <w:rFonts w:ascii="標楷體" w:cs="標楷體" w:eastAsia="標楷體" w:hAnsi="標楷體"/>
          <w:b w:val="false"/>
          <w:bCs w:val="false"/>
          <w:sz w:val="24"/>
          <w:szCs w:val="24"/>
        </w:rPr>
        <w:t xml:space="preserve">9.1 適用法規及其他要求事項清單。</w:t>
      </w:r>
    </w:p>
    <w:p>
      <w:pPr>
        <w:keepNext w:val="false"/>
        <w:spacing w:after="0" w:before="50" w:line="240"/>
        <w:ind w:left="720" w:hanging="240"/>
      </w:pPr>
      <w:r>
        <w:rPr>
          <w:rFonts w:ascii="標楷體" w:cs="標楷體" w:eastAsia="標楷體" w:hAnsi="標楷體"/>
          <w:b w:val="false"/>
          <w:bCs w:val="false"/>
          <w:sz w:val="24"/>
          <w:szCs w:val="24"/>
        </w:rPr>
        <w:t xml:space="preserve">9.2 法規符合性查驗表。</w:t>
      </w:r>
    </w:p>
    <w:p>
      <w:pPr>
        <w:keepNext w:val="false"/>
        <w:spacing w:after="0" w:before="50" w:line="240"/>
        <w:ind w:left="720" w:hanging="240"/>
      </w:pPr>
      <w:r>
        <w:rPr>
          <w:rFonts w:ascii="標楷體" w:cs="標楷體" w:eastAsia="標楷體" w:hAnsi="標楷體"/>
          <w:b w:val="false"/>
          <w:bCs w:val="false"/>
          <w:sz w:val="24"/>
          <w:szCs w:val="24"/>
        </w:rPr>
        <w:t xml:space="preserve">9.3 法規宣導及教育訓練紀錄。</w:t>
      </w:r>
    </w:p>
    <w:p>
      <w:pPr>
        <w:keepNext w:val="false"/>
        <w:spacing w:after="0" w:before="50" w:line="240"/>
        <w:ind w:left="720" w:hanging="240"/>
      </w:pPr>
      <w:r>
        <w:rPr>
          <w:rFonts w:ascii="標楷體" w:cs="標楷體" w:eastAsia="標楷體" w:hAnsi="標楷體"/>
          <w:b w:val="false"/>
          <w:bCs w:val="false"/>
          <w:sz w:val="24"/>
          <w:szCs w:val="24"/>
        </w:rPr>
        <w:t xml:space="preserve">9.4 主管機關來文、申報備查函文及回復文件。</w:t>
      </w:r>
    </w:p>
    <w:p>
      <w:pPr>
        <w:keepNext w:val="false"/>
        <w:spacing w:after="0" w:before="50" w:line="240"/>
        <w:ind w:left="720" w:hanging="240"/>
      </w:pPr>
      <w:r>
        <w:rPr>
          <w:rFonts w:ascii="標楷體" w:cs="標楷體" w:eastAsia="標楷體" w:hAnsi="標楷體"/>
          <w:b w:val="false"/>
          <w:bCs w:val="false"/>
          <w:sz w:val="24"/>
          <w:szCs w:val="24"/>
        </w:rPr>
        <w:t xml:space="preserve">9.5 能源管理盤查小組會議紀錄及決議追蹤表。</w:t>
      </w:r>
    </w:p>
    <w:p>
      <w:pPr>
        <w:keepNext w:val="false"/>
        <w:spacing w:after="0" w:before="50" w:line="240"/>
        <w:ind w:left="720" w:hanging="240"/>
      </w:pPr>
      <w:r>
        <w:rPr>
          <w:rFonts w:ascii="標楷體" w:cs="標楷體" w:eastAsia="標楷體" w:hAnsi="標楷體"/>
          <w:b w:val="false"/>
          <w:bCs w:val="false"/>
          <w:sz w:val="24"/>
          <w:szCs w:val="24"/>
        </w:rPr>
        <w:t xml:space="preserve">9.6 前列記錄依 ISO 50001:2018 條款 7.5 保存為文件化資訊，並依 6.9 辦理。</w:t>
      </w:r>
    </w:p>
    <w:p>
      <w:pPr>
        <w:keepNext/>
        <w:spacing w:after="50" w:before="150" w:line="240"/>
      </w:pPr>
      <w:r>
        <w:rPr>
          <w:rFonts w:ascii="標楷體" w:cs="標楷體" w:eastAsia="標楷體" w:hAnsi="標楷體"/>
          <w:b/>
          <w:bCs/>
          <w:sz w:val="24"/>
          <w:szCs w:val="24"/>
        </w:rPr>
        <w:t xml:space="preserve">10.附　　件：</w:t>
      </w:r>
    </w:p>
    <w:p>
      <w:pPr>
        <w:keepNext w:val="false"/>
        <w:spacing w:after="0" w:before="50" w:line="240"/>
        <w:ind w:left="720" w:hanging="240"/>
      </w:pPr>
      <w:r>
        <w:rPr>
          <w:rFonts w:ascii="標楷體" w:cs="標楷體" w:eastAsia="標楷體" w:hAnsi="標楷體"/>
          <w:b w:val="false"/>
          <w:bCs w:val="false"/>
          <w:sz w:val="24"/>
          <w:szCs w:val="24"/>
        </w:rPr>
        <w:t xml:space="preserve">10.1 附件一　適用法規及其他要求事項清單（保存最新版本，保存單位：總務部）。</w:t>
      </w:r>
    </w:p>
    <w:p>
      <w:pPr>
        <w:keepNext w:val="false"/>
        <w:spacing w:after="0" w:before="50" w:line="240"/>
        <w:ind w:left="720" w:hanging="240"/>
      </w:pPr>
      <w:r>
        <w:rPr>
          <w:rFonts w:ascii="標楷體" w:cs="標楷體" w:eastAsia="標楷體" w:hAnsi="標楷體"/>
          <w:b w:val="false"/>
          <w:bCs w:val="false"/>
          <w:sz w:val="24"/>
          <w:szCs w:val="24"/>
        </w:rPr>
        <w:t xml:space="preserve">10.2 附件二　法規符合性查驗表（保存三年，保存單位：總務部）。</w:t>
      </w:r>
    </w:p>
    <w:p>
      <w:pPr>
        <w:keepNext w:val="false"/>
        <w:spacing w:after="0" w:before="50" w:line="240"/>
        <w:ind w:left="720" w:hanging="240"/>
      </w:pPr>
      <w:r>
        <w:rPr>
          <w:rFonts w:ascii="標楷體" w:cs="標楷體" w:eastAsia="標楷體" w:hAnsi="標楷體"/>
          <w:b w:val="false"/>
          <w:bCs w:val="false"/>
          <w:sz w:val="24"/>
          <w:szCs w:val="24"/>
        </w:rPr>
        <w:t xml:space="preserve">10.3 前列表單之編號，依 0220ATP0001 條款 6.2 以 19 碼表單編號管制，隨本程序書發行。</w:t>
      </w:r>
    </w:p>
    <w:p>
      <w:pPr>
        <w:pageBreakBefore/>
        <w:spacing w:after="40"/>
        <w:jc w:val="center"/>
      </w:pPr>
      <w:r>
        <w:rPr>
          <w:rFonts w:ascii="標楷體" w:cs="標楷體" w:eastAsia="標楷體" w:hAnsi="標楷體"/>
          <w:b/>
          <w:bCs/>
          <w:sz w:val="28"/>
          <w:szCs w:val="28"/>
        </w:rPr>
        <w:t xml:space="preserve">附件一　適用法規及其他要求事項清單</w:t>
      </w:r>
    </w:p>
    <w:p>
      <w:pPr>
        <w:spacing w:after="140"/>
        <w:jc w:val="center"/>
      </w:pPr>
      <w:r>
        <w:rPr>
          <w:rFonts w:ascii="標楷體" w:cs="標楷體" w:eastAsia="標楷體" w:hAnsi="標楷體"/>
          <w:b w:val="false"/>
          <w:bCs w:val="false"/>
          <w:sz w:val="22"/>
          <w:szCs w:val="22"/>
        </w:rPr>
        <w:t xml:space="preserve">□ 法規要求事項　　□ 其他要求事項　　　　　　年度</w:t>
      </w:r>
    </w:p>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3000"/>
        <w:gridCol w:w="1600"/>
        <w:gridCol w:w="1600"/>
        <w:gridCol w:w="1600"/>
        <w:gridCol w:w="1706"/>
      </w:tblGrid>
      <w:tr>
        <w:trPr>
          <w:tblHeader/>
        </w:trPr>
        <w:tc>
          <w:tcPr>
            <w:tcW w:type="dxa" w:w="7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編號</w:t>
            </w:r>
          </w:p>
        </w:tc>
        <w:tc>
          <w:tcPr>
            <w:tcW w:type="dxa" w:w="30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法規／其他要求事項名稱</w:t>
            </w:r>
          </w:p>
        </w:tc>
        <w:tc>
          <w:tcPr>
            <w:tcW w:type="dxa" w:w="16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主管機關</w:t>
            </w:r>
          </w:p>
        </w:tc>
        <w:tc>
          <w:tcPr>
            <w:tcW w:type="dxa" w:w="16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公布／修正日期</w:t>
            </w:r>
          </w:p>
        </w:tc>
        <w:tc>
          <w:tcPr>
            <w:tcW w:type="dxa" w:w="16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適用之條文</w:t>
            </w:r>
          </w:p>
        </w:tc>
        <w:tc>
          <w:tcPr>
            <w:tcW w:type="dxa" w:w="1706"/>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適用性（適用／N/A）</w:t>
            </w:r>
          </w:p>
        </w:tc>
      </w:tr>
      <w:tr>
        <w:trPr>
          <w:trHeight w:val="460" w:hRule="atLeast"/>
        </w:trPr>
        <w:tc>
          <w:tcPr>
            <w:tcW w:type="dxa" w:w="7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1</w:t>
            </w:r>
          </w:p>
        </w:tc>
        <w:tc>
          <w:tcPr>
            <w:tcW w:type="dxa" w:w="30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706"/>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r>
      <w:tr>
        <w:trPr>
          <w:trHeight w:val="460" w:hRule="atLeast"/>
        </w:trPr>
        <w:tc>
          <w:tcPr>
            <w:tcW w:type="dxa" w:w="7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2</w:t>
            </w:r>
          </w:p>
        </w:tc>
        <w:tc>
          <w:tcPr>
            <w:tcW w:type="dxa" w:w="30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706"/>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r>
      <w:tr>
        <w:trPr>
          <w:trHeight w:val="460" w:hRule="atLeast"/>
        </w:trPr>
        <w:tc>
          <w:tcPr>
            <w:tcW w:type="dxa" w:w="7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3</w:t>
            </w:r>
          </w:p>
        </w:tc>
        <w:tc>
          <w:tcPr>
            <w:tcW w:type="dxa" w:w="30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706"/>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r>
      <w:tr>
        <w:trPr>
          <w:trHeight w:val="460" w:hRule="atLeast"/>
        </w:trPr>
        <w:tc>
          <w:tcPr>
            <w:tcW w:type="dxa" w:w="7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4</w:t>
            </w:r>
          </w:p>
        </w:tc>
        <w:tc>
          <w:tcPr>
            <w:tcW w:type="dxa" w:w="30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706"/>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r>
      <w:tr>
        <w:trPr>
          <w:trHeight w:val="460" w:hRule="atLeast"/>
        </w:trPr>
        <w:tc>
          <w:tcPr>
            <w:tcW w:type="dxa" w:w="7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5</w:t>
            </w:r>
          </w:p>
        </w:tc>
        <w:tc>
          <w:tcPr>
            <w:tcW w:type="dxa" w:w="30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706"/>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r>
      <w:tr>
        <w:trPr>
          <w:trHeight w:val="460" w:hRule="atLeast"/>
        </w:trPr>
        <w:tc>
          <w:tcPr>
            <w:tcW w:type="dxa" w:w="7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6</w:t>
            </w:r>
          </w:p>
        </w:tc>
        <w:tc>
          <w:tcPr>
            <w:tcW w:type="dxa" w:w="30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706"/>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r>
      <w:tr>
        <w:trPr>
          <w:trHeight w:val="460" w:hRule="atLeast"/>
        </w:trPr>
        <w:tc>
          <w:tcPr>
            <w:tcW w:type="dxa" w:w="7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7</w:t>
            </w:r>
          </w:p>
        </w:tc>
        <w:tc>
          <w:tcPr>
            <w:tcW w:type="dxa" w:w="30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706"/>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r>
      <w:tr>
        <w:trPr>
          <w:trHeight w:val="460" w:hRule="atLeast"/>
        </w:trPr>
        <w:tc>
          <w:tcPr>
            <w:tcW w:type="dxa" w:w="7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8</w:t>
            </w:r>
          </w:p>
        </w:tc>
        <w:tc>
          <w:tcPr>
            <w:tcW w:type="dxa" w:w="30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706"/>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r>
      <w:tr>
        <w:trPr>
          <w:trHeight w:val="460" w:hRule="atLeast"/>
        </w:trPr>
        <w:tc>
          <w:tcPr>
            <w:tcW w:type="dxa" w:w="7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9</w:t>
            </w:r>
          </w:p>
        </w:tc>
        <w:tc>
          <w:tcPr>
            <w:tcW w:type="dxa" w:w="30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706"/>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r>
      <w:tr>
        <w:trPr>
          <w:trHeight w:val="460" w:hRule="atLeast"/>
        </w:trPr>
        <w:tc>
          <w:tcPr>
            <w:tcW w:type="dxa" w:w="7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10</w:t>
            </w:r>
          </w:p>
        </w:tc>
        <w:tc>
          <w:tcPr>
            <w:tcW w:type="dxa" w:w="30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6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c>
          <w:tcPr>
            <w:tcW w:type="dxa" w:w="1706"/>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
            </w:r>
          </w:p>
        </w:tc>
      </w:tr>
    </w:tbl>
    <w:p>
      <w:pPr>
        <w:spacing w:before="160"/>
      </w:pPr>
    </w:p>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3402"/>
        <w:gridCol w:w="3402"/>
        <w:gridCol w:w="3402"/>
      </w:tblGrid>
      <w:tr>
        <w:tc>
          <w:tcPr>
            <w:tcW w:type="dxa" w:w="3402"/>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核定：ISO 50001管理代表</w:t>
            </w:r>
          </w:p>
        </w:tc>
        <w:tc>
          <w:tcPr>
            <w:tcW w:type="dxa" w:w="3402"/>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審議：能源管理盤查小組</w:t>
            </w:r>
          </w:p>
        </w:tc>
        <w:tc>
          <w:tcPr>
            <w:tcW w:type="dxa" w:w="3402"/>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製表：　　　　日期：</w:t>
            </w:r>
          </w:p>
        </w:tc>
      </w:tr>
      <w:tr>
        <w:trPr>
          <w:trHeight w:val="650" w:hRule="atLeast"/>
        </w:trPr>
        <w:tc>
          <w:tcPr>
            <w:tcW w:type="dxa" w:w="3402"/>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3402"/>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3402"/>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bl>
    <w:p>
      <w:pPr>
        <w:spacing w:before="120" w:line="240"/>
      </w:pPr>
      <w:r>
        <w:rPr>
          <w:rFonts w:ascii="標楷體" w:cs="標楷體" w:eastAsia="標楷體" w:hAnsi="標楷體"/>
          <w:b w:val="false"/>
          <w:bCs w:val="false"/>
          <w:sz w:val="20"/>
          <w:szCs w:val="20"/>
        </w:rPr>
        <w:t xml:space="preserve">填表說明：經判定不適用者，應於適用性欄填「N/A」並於備考敘明理由，不得逕行自清單刪除。</w:t>
      </w:r>
    </w:p>
    <w:p>
      <w:pPr>
        <w:pageBreakBefore/>
        <w:spacing w:after="140"/>
        <w:jc w:val="center"/>
      </w:pPr>
      <w:r>
        <w:rPr>
          <w:rFonts w:ascii="標楷體" w:cs="標楷體" w:eastAsia="標楷體" w:hAnsi="標楷體"/>
          <w:b/>
          <w:bCs/>
          <w:sz w:val="28"/>
          <w:szCs w:val="28"/>
        </w:rPr>
        <w:t xml:space="preserve">附件二　法規符合性查驗表</w:t>
      </w:r>
    </w:p>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2200"/>
        <w:gridCol w:w="8006"/>
      </w:tblGrid>
      <w:tr>
        <w:tc>
          <w:tcPr>
            <w:tcW w:type="dxa" w:w="2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法規／其他要求名稱</w:t>
            </w:r>
          </w:p>
        </w:tc>
        <w:tc>
          <w:tcPr>
            <w:tcW w:type="dxa" w:w="80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c>
          <w:tcPr>
            <w:tcW w:type="dxa" w:w="2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主管機關</w:t>
            </w:r>
          </w:p>
        </w:tc>
        <w:tc>
          <w:tcPr>
            <w:tcW w:type="dxa" w:w="80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c>
          <w:tcPr>
            <w:tcW w:type="dxa" w:w="2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公布／修正日期</w:t>
            </w:r>
          </w:p>
        </w:tc>
        <w:tc>
          <w:tcPr>
            <w:tcW w:type="dxa" w:w="80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年　　月　　日</w:t>
            </w:r>
          </w:p>
        </w:tc>
      </w:tr>
      <w:tr>
        <w:tc>
          <w:tcPr>
            <w:tcW w:type="dxa" w:w="22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查驗日期</w:t>
            </w:r>
          </w:p>
        </w:tc>
        <w:tc>
          <w:tcPr>
            <w:tcW w:type="dxa" w:w="80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年　　月　　日　　　查驗人員：</w:t>
            </w:r>
          </w:p>
        </w:tc>
      </w:tr>
    </w:tbl>
    <w:p>
      <w:pPr>
        <w:spacing w:before="140"/>
      </w:pPr>
    </w:p>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900"/>
        <w:gridCol w:w="2700"/>
        <w:gridCol w:w="1000"/>
        <w:gridCol w:w="1000"/>
        <w:gridCol w:w="1000"/>
        <w:gridCol w:w="1000"/>
        <w:gridCol w:w="2606"/>
      </w:tblGrid>
      <w:tr>
        <w:trPr>
          <w:tblHeader/>
        </w:trPr>
        <w:tc>
          <w:tcPr>
            <w:tcW w:type="dxa" w:w="900"/>
            <w:vMerge w:val="restart"/>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條次</w:t>
            </w:r>
          </w:p>
        </w:tc>
        <w:tc>
          <w:tcPr>
            <w:tcW w:type="dxa" w:w="2700"/>
            <w:vMerge w:val="restart"/>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條文摘要</w:t>
            </w:r>
          </w:p>
        </w:tc>
        <w:tc>
          <w:tcPr>
            <w:tcW w:type="dxa" w:w="2000"/>
            <w:gridSpan w:val="2"/>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適用性評估</w:t>
            </w:r>
          </w:p>
        </w:tc>
        <w:tc>
          <w:tcPr>
            <w:tcW w:type="dxa" w:w="2000"/>
            <w:gridSpan w:val="2"/>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符合性評估</w:t>
            </w:r>
          </w:p>
        </w:tc>
        <w:tc>
          <w:tcPr>
            <w:tcW w:type="dxa" w:w="2606"/>
            <w:vMerge w:val="restart"/>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現況說明及佐證</w:t>
            </w:r>
          </w:p>
        </w:tc>
      </w:tr>
      <w:tr>
        <w:tc>
          <w:tcPr>
            <w:tcW w:type="dxa" w:w="900"/>
            <w:vMerge w:val="continue"/>
            <w:shd w:fill="E8E8E8" w:color="auto" w:val="clear"/>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700"/>
            <w:vMerge w:val="continue"/>
            <w:shd w:fill="E8E8E8" w:color="auto" w:val="clear"/>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18"/>
                <w:szCs w:val="18"/>
              </w:rPr>
              <w:t xml:space="preserve">適用</w:t>
            </w:r>
          </w:p>
        </w:tc>
        <w:tc>
          <w:tcPr>
            <w:tcW w:type="dxa" w:w="10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18"/>
                <w:szCs w:val="18"/>
              </w:rPr>
              <w:t xml:space="preserve">N/A</w:t>
            </w:r>
          </w:p>
        </w:tc>
        <w:tc>
          <w:tcPr>
            <w:tcW w:type="dxa" w:w="10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18"/>
                <w:szCs w:val="18"/>
              </w:rPr>
              <w:t xml:space="preserve">符合</w:t>
            </w:r>
          </w:p>
        </w:tc>
        <w:tc>
          <w:tcPr>
            <w:tcW w:type="dxa" w:w="10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18"/>
                <w:szCs w:val="18"/>
              </w:rPr>
              <w:t xml:space="preserve">不符合</w:t>
            </w:r>
          </w:p>
        </w:tc>
        <w:tc>
          <w:tcPr>
            <w:tcW w:type="dxa" w:w="2606"/>
            <w:vMerge w:val="continue"/>
            <w:shd w:fill="E8E8E8" w:color="auto" w:val="clear"/>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440" w:hRule="atLeast"/>
        </w:trPr>
        <w:tc>
          <w:tcPr>
            <w:tcW w:type="dxa" w:w="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6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440" w:hRule="atLeast"/>
        </w:trPr>
        <w:tc>
          <w:tcPr>
            <w:tcW w:type="dxa" w:w="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6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440" w:hRule="atLeast"/>
        </w:trPr>
        <w:tc>
          <w:tcPr>
            <w:tcW w:type="dxa" w:w="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6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440" w:hRule="atLeast"/>
        </w:trPr>
        <w:tc>
          <w:tcPr>
            <w:tcW w:type="dxa" w:w="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6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440" w:hRule="atLeast"/>
        </w:trPr>
        <w:tc>
          <w:tcPr>
            <w:tcW w:type="dxa" w:w="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6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440" w:hRule="atLeast"/>
        </w:trPr>
        <w:tc>
          <w:tcPr>
            <w:tcW w:type="dxa" w:w="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6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440" w:hRule="atLeast"/>
        </w:trPr>
        <w:tc>
          <w:tcPr>
            <w:tcW w:type="dxa" w:w="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6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440" w:hRule="atLeast"/>
        </w:trPr>
        <w:tc>
          <w:tcPr>
            <w:tcW w:type="dxa" w:w="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6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440" w:hRule="atLeast"/>
        </w:trPr>
        <w:tc>
          <w:tcPr>
            <w:tcW w:type="dxa" w:w="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6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r>
        <w:trPr>
          <w:trHeight w:val="440" w:hRule="atLeast"/>
        </w:trPr>
        <w:tc>
          <w:tcPr>
            <w:tcW w:type="dxa" w:w="9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7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000"/>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2606"/>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bl>
    <w:p>
      <w:pPr>
        <w:spacing w:before="160"/>
      </w:pPr>
    </w:p>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5103"/>
        <w:gridCol w:w="5103"/>
      </w:tblGrid>
      <w:tr>
        <w:tc>
          <w:tcPr>
            <w:tcW w:type="dxa" w:w="5103"/>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製／修表人員：　　　　　　日期：</w:t>
            </w:r>
          </w:p>
        </w:tc>
        <w:tc>
          <w:tcPr>
            <w:tcW w:type="dxa" w:w="5103"/>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審核（ISO 50001管理代表）：</w:t>
            </w:r>
          </w:p>
        </w:tc>
      </w:tr>
      <w:tr>
        <w:trPr>
          <w:trHeight w:val="650" w:hRule="atLeast"/>
        </w:trPr>
        <w:tc>
          <w:tcPr>
            <w:tcW w:type="dxa" w:w="510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5103"/>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r>
    </w:tbl>
    <w:p>
      <w:pPr>
        <w:spacing w:before="120" w:line="240"/>
      </w:pPr>
      <w:r>
        <w:rPr>
          <w:rFonts w:ascii="標楷體" w:cs="標楷體" w:eastAsia="標楷體" w:hAnsi="標楷體"/>
          <w:b/>
          <w:bCs/>
          <w:sz w:val="20"/>
          <w:szCs w:val="20"/>
        </w:rPr>
        <w:t xml:space="preserve">填表說明：</w:t>
      </w:r>
    </w:p>
    <w:p>
      <w:pPr>
        <w:spacing w:line="240"/>
        <w:ind w:left="480"/>
      </w:pPr>
      <w:r>
        <w:rPr>
          <w:rFonts w:ascii="標楷體" w:cs="標楷體" w:eastAsia="標楷體" w:hAnsi="標楷體"/>
          <w:b w:val="false"/>
          <w:bCs w:val="false"/>
          <w:sz w:val="20"/>
          <w:szCs w:val="20"/>
        </w:rPr>
        <w:t xml:space="preserve">1. 每一法規填寫一張本表，逐條評估其適用性與符合性。</w:t>
      </w:r>
    </w:p>
    <w:p>
      <w:pPr>
        <w:spacing w:line="240"/>
        <w:ind w:left="480"/>
      </w:pPr>
      <w:r>
        <w:rPr>
          <w:rFonts w:ascii="標楷體" w:cs="標楷體" w:eastAsia="標楷體" w:hAnsi="標楷體"/>
          <w:b w:val="false"/>
          <w:bCs w:val="false"/>
          <w:sz w:val="20"/>
          <w:szCs w:val="20"/>
        </w:rPr>
        <w:t xml:space="preserve">2. 現況說明欄應敘明本院執行方式，並註明佐證文件名稱或編號。</w:t>
      </w:r>
    </w:p>
    <w:p>
      <w:pPr>
        <w:spacing w:line="240"/>
        <w:ind w:left="480"/>
      </w:pPr>
      <w:r>
        <w:rPr>
          <w:rFonts w:ascii="標楷體" w:cs="標楷體" w:eastAsia="標楷體" w:hAnsi="標楷體"/>
          <w:b w:val="false"/>
          <w:bCs w:val="false"/>
          <w:sz w:val="20"/>
          <w:szCs w:val="20"/>
        </w:rPr>
        <w:t xml:space="preserve">3. 評估為「不符合」者，應依本程序書 6.7 提報能源管理盤查小組擬定矯正管理措施。</w:t>
      </w:r>
    </w:p>
    <w:sectPr>
      <w:headerReference w:type="default" r:id="rId8"/>
      <w:footerReference w:type="default" r:id="rId9"/>
      <w:pgSz w:w="11906" w:h="16838" w:orient="portrait"/>
      <w:pgMar w:top="850" w:right="850" w:bottom="850" w:left="850" w:header="400" w:footer="4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8312"/>
      </w:tabs>
    </w:pPr>
    <w:r>
      <w:rPr>
        <w:rFonts w:ascii="標楷體" w:cs="標楷體" w:eastAsia="標楷體" w:hAnsi="標楷體"/>
        <w:b w:val="false"/>
        <w:bCs w:val="false"/>
        <w:sz w:val="18"/>
        <w:szCs w:val="18"/>
      </w:rPr>
      <w:t xml:space="preserve">光田綜合醫院文件，非經許可不得以任何方式翻製或複印</w:t>
    </w:r>
    <w:r>
      <w:tab/>
    </w:r>
    <w:r>
      <w:rPr>
        <w:rFonts w:ascii="標楷體" w:cs="標楷體" w:eastAsia="標楷體" w:hAnsi="標楷體"/>
        <w:b w:val="false"/>
        <w:bCs w:val="false"/>
        <w:sz w:val="20"/>
        <w:szCs w:val="20"/>
      </w:rPr>
      <w:t xml:space="preserve">文件發行章：</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06"/>
      <w:tblBorders>
        <w:top w:val="single" w:color="000000" w:sz="4"/>
        <w:left w:val="single" w:color="000000" w:sz="4"/>
        <w:bottom w:val="single" w:color="000000" w:sz="4"/>
        <w:right w:val="single" w:color="000000" w:sz="4"/>
        <w:insideH w:val="single" w:color="auto" w:sz="4"/>
        <w:insideV w:val="single" w:color="auto" w:sz="4"/>
      </w:tblBorders>
    </w:tblPr>
    <w:tblGrid>
      <w:gridCol w:w="1300"/>
      <w:gridCol w:w="4506"/>
      <w:gridCol w:w="1400"/>
      <w:gridCol w:w="3000"/>
    </w:tblGrid>
    <w:tr>
      <w:tc>
        <w:tcPr>
          <w:tcW w:type="dxa" w:w="13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文件名稱</w:t>
          </w:r>
        </w:p>
      </w:tc>
      <w:tc>
        <w:tcPr>
          <w:tcW w:type="dxa" w:w="4506"/>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能源法規鑑別與符合性查核程序書</w:t>
          </w:r>
        </w:p>
      </w:tc>
      <w:tc>
        <w:tcPr>
          <w:tcW w:type="dxa" w:w="14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文件編號</w:t>
          </w:r>
        </w:p>
      </w:tc>
      <w:tc>
        <w:tcPr>
          <w:tcW w:type="dxa" w:w="30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1D10ATP0051-(01)</w:t>
          </w:r>
        </w:p>
      </w:tc>
    </w:tr>
    <w:tr>
      <w:tc>
        <w:tcPr>
          <w:tcW w:type="dxa" w:w="1300"/>
          <w:vMerge w:val="restart"/>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文件類別</w:t>
          </w:r>
        </w:p>
      </w:tc>
      <w:tc>
        <w:tcPr>
          <w:tcW w:type="dxa" w:w="4506"/>
          <w:vMerge w:val="restart"/>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作　業　程　序　書</w:t>
          </w:r>
        </w:p>
      </w:tc>
      <w:tc>
        <w:tcPr>
          <w:tcW w:type="dxa" w:w="14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頁　　次</w:t>
          </w:r>
        </w:p>
      </w:tc>
      <w:tc>
        <w:tcPr>
          <w:tcW w:type="dxa" w:w="3000"/>
          <w:tcMar>
            <w:top w:type="dxa" w:w="50"/>
            <w:left w:type="dxa" w:w="80"/>
            <w:bottom w:type="dxa" w:w="50"/>
            <w:right w:type="dxa" w:w="80"/>
          </w:tcMar>
          <w:vAlign w:val="center"/>
        </w:tcPr>
        <w:p>
          <w:pPr>
            <w:jc w:val="center"/>
          </w:pPr>
          <w:r>
            <w:rPr>
              <w:rFonts w:ascii="標楷體" w:cs="標楷體" w:eastAsia="標楷體" w:hAnsi="標楷體"/>
              <w:sz w:val="20"/>
              <w:szCs w:val="20"/>
            </w:rPr>
            <w:t xml:space="preserve">第 </w:t>
            <w:fldChar w:fldCharType="begin"/>
            <w:instrText xml:space="preserve">PAGE</w:instrText>
            <w:fldChar w:fldCharType="separate"/>
            <w:fldChar w:fldCharType="end"/>
            <w:t xml:space="preserve"> 頁、共 6 頁</w:t>
          </w:r>
        </w:p>
      </w:tc>
    </w:tr>
    <w:tr>
      <w:tc>
        <w:tcPr>
          <w:tcW w:type="dxa" w:w="1300"/>
          <w:vMerge w:val="continue"/>
          <w:shd w:fill="E8E8E8" w:color="auto" w:val="clear"/>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4506"/>
          <w:vMerge w:val="continue"/>
          <w:tcMar>
            <w:top w:type="dxa" w:w="40"/>
            <w:left w:type="dxa" w:w="70"/>
            <w:bottom w:type="dxa" w:w="40"/>
            <w:right w:type="dxa" w:w="70"/>
          </w:tcMar>
          <w:vAlign w:val="center"/>
        </w:tcPr>
        <w:p>
          <w:pPr>
            <w:spacing w:line="235"/>
            <w:jc w:val="left"/>
          </w:pPr>
          <w:r>
            <w:rPr>
              <w:rFonts w:ascii="標楷體" w:cs="標楷體" w:eastAsia="標楷體" w:hAnsi="標楷體"/>
              <w:b w:val="false"/>
              <w:bCs w:val="false"/>
              <w:sz w:val="20"/>
              <w:szCs w:val="20"/>
            </w:rPr>
            <w:t xml:space="preserve"/>
          </w:r>
        </w:p>
      </w:tc>
      <w:tc>
        <w:tcPr>
          <w:tcW w:type="dxa" w:w="1400"/>
          <w:shd w:fill="E8E8E8" w:color="auto" w:val="clear"/>
          <w:tcMar>
            <w:top w:type="dxa" w:w="40"/>
            <w:left w:type="dxa" w:w="70"/>
            <w:bottom w:type="dxa" w:w="40"/>
            <w:right w:type="dxa" w:w="70"/>
          </w:tcMar>
          <w:vAlign w:val="center"/>
        </w:tcPr>
        <w:p>
          <w:pPr>
            <w:spacing w:line="235"/>
            <w:jc w:val="center"/>
          </w:pPr>
          <w:r>
            <w:rPr>
              <w:rFonts w:ascii="標楷體" w:cs="標楷體" w:eastAsia="標楷體" w:hAnsi="標楷體"/>
              <w:b/>
              <w:bCs/>
              <w:sz w:val="20"/>
              <w:szCs w:val="20"/>
            </w:rPr>
            <w:t xml:space="preserve">所屬單位</w:t>
          </w:r>
        </w:p>
      </w:tc>
      <w:tc>
        <w:tcPr>
          <w:tcW w:type="dxa" w:w="3000"/>
          <w:tcMar>
            <w:top w:type="dxa" w:w="40"/>
            <w:left w:type="dxa" w:w="70"/>
            <w:bottom w:type="dxa" w:w="40"/>
            <w:right w:type="dxa" w:w="70"/>
          </w:tcMar>
          <w:vAlign w:val="center"/>
        </w:tcPr>
        <w:p>
          <w:pPr>
            <w:spacing w:line="235"/>
            <w:jc w:val="center"/>
          </w:pPr>
          <w:r>
            <w:rPr>
              <w:rFonts w:ascii="標楷體" w:cs="標楷體" w:eastAsia="標楷體" w:hAnsi="標楷體"/>
              <w:b w:val="false"/>
              <w:bCs w:val="false"/>
              <w:sz w:val="20"/>
              <w:szCs w:val="20"/>
            </w:rPr>
            <w:t xml:space="preserve">總務部</w:t>
          </w:r>
        </w:p>
      </w:tc>
    </w:tr>
  </w:tbl>
  <w:p>
    <w:pPr>
      <w:spacing w:after="0" w:line="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標楷體" w:cs="標楷體" w:eastAsia="標楷體" w:hAnsi="標楷體"/>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be8f6918e6803fd512c8b9a151829a1c0fa5dbcf.jpg"/><Relationship Id="rId11" Type="http://schemas.openxmlformats.org/officeDocument/2006/relationships/image" Target="media/c2441d1d812d611a768465e3dcabc16c7d6d142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2026-08-07T18:03:41.928Z</dcterms:created>
  <dcterms:modified xsi:type="dcterms:W3CDTF">2026-08-07T18:03:41.928Z</dcterms:modified>
</cp:coreProperties>
</file>

<file path=docProps/custom.xml><?xml version="1.0" encoding="utf-8"?>
<Properties xmlns="http://schemas.openxmlformats.org/officeDocument/2006/custom-properties" xmlns:vt="http://schemas.openxmlformats.org/officeDocument/2006/docPropsVTypes"/>
</file>