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6192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333375"/>
                    </a:xfrm>
                    <a:prstGeom prst="rect">
                      <a:avLst/>
                    </a:prstGeom>
                  </pic:spPr>
                </pic:pic>
              </a:graphicData>
            </a:graphic>
          </wp:inline>
        </w:drawing>
      </w:r>
    </w:p>
    <w:p>
      <w:pPr>
        <w:spacing w:after="700"/>
        <w:jc w:val="center"/>
      </w:pPr>
      <w:r>
        <w:rPr>
          <w:rFonts w:ascii="標楷體" w:cs="標楷體" w:eastAsia="標楷體" w:hAnsi="標楷體"/>
          <w:b/>
          <w:bCs/>
          <w:sz w:val="28"/>
          <w:szCs w:val="28"/>
        </w:rPr>
        <w:t xml:space="preserve">光田醫療社團法人　光田綜合醫院</w:t>
      </w:r>
    </w:p>
    <w:p>
      <w:pPr>
        <w:spacing w:after="100"/>
        <w:jc w:val="center"/>
      </w:pPr>
      <w:r>
        <w:rPr>
          <w:rFonts w:ascii="標楷體" w:cs="標楷體" w:eastAsia="標楷體" w:hAnsi="標楷體"/>
          <w:b/>
          <w:bCs/>
          <w:sz w:val="30"/>
          <w:szCs w:val="30"/>
        </w:rPr>
        <w:t xml:space="preserve">ISO 50001 能源管理系統</w:t>
      </w:r>
    </w:p>
    <w:p>
      <w:pPr>
        <w:spacing w:after="760"/>
        <w:jc w:val="center"/>
      </w:pPr>
      <w:r>
        <w:rPr>
          <w:rFonts w:ascii="標楷體" w:cs="標楷體" w:eastAsia="標楷體" w:hAnsi="標楷體"/>
          <w:b/>
          <w:bCs/>
          <w:sz w:val="36"/>
          <w:szCs w:val="36"/>
        </w:rPr>
        <w:t xml:space="preserve">組 織 背 景 及 風 險 管 理 程 序</w:t>
      </w: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1000"/>
        <w:gridCol w:w="4512"/>
        <w:gridCol w:w="1600"/>
        <w:gridCol w:w="1200"/>
      </w:tblGrid>
      <w:tr>
        <w:tc>
          <w:tcPr>
            <w:tcW w:type="dxa" w:w="1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版次</w:t>
            </w:r>
          </w:p>
        </w:tc>
        <w:tc>
          <w:tcPr>
            <w:tcW w:type="dxa" w:w="4512"/>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修改摘要</w:t>
            </w:r>
          </w:p>
        </w:tc>
        <w:tc>
          <w:tcPr>
            <w:tcW w:type="dxa" w:w="16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日期</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備註</w:t>
            </w:r>
          </w:p>
        </w:tc>
      </w:tr>
      <w:tr>
        <w:tc>
          <w:tcPr>
            <w:tcW w:type="dxa" w:w="1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第一版</w:t>
            </w:r>
          </w:p>
        </w:tc>
        <w:tc>
          <w:tcPr>
            <w:tcW w:type="dxa" w:w="451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新增（共 9 頁）－依衛生福利部114年綠色醫療永續規劃暨教育訓練補助計畫制定</w:t>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115年03月</w:t>
            </w:r>
          </w:p>
        </w:tc>
        <w:tc>
          <w:tcPr>
            <w:tcW w:type="dxa" w:w="12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20" w:hRule="atLeast"/>
        </w:trPr>
        <w:tc>
          <w:tcPr>
            <w:tcW w:type="dxa" w:w="1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第二版</w:t>
            </w:r>
          </w:p>
        </w:tc>
        <w:tc>
          <w:tcPr>
            <w:tcW w:type="dxa" w:w="451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2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20" w:hRule="atLeast"/>
        </w:trPr>
        <w:tc>
          <w:tcPr>
            <w:tcW w:type="dxa" w:w="1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第三版</w:t>
            </w:r>
          </w:p>
        </w:tc>
        <w:tc>
          <w:tcPr>
            <w:tcW w:type="dxa" w:w="451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2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after="480"/>
      </w:pP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3400"/>
        <w:gridCol w:w="1200"/>
        <w:gridCol w:w="2512"/>
      </w:tblGrid>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文件類別</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□品質手冊　　■作業程序書</w:t>
            </w:r>
          </w:p>
          <w:p>
            <w:pPr>
              <w:spacing w:line="235"/>
              <w:jc w:val="left"/>
            </w:pPr>
            <w:r>
              <w:rPr>
                <w:rFonts w:ascii="標楷體" w:cs="標楷體" w:eastAsia="標楷體" w:hAnsi="標楷體"/>
                <w:b w:val="false"/>
                <w:bCs w:val="false"/>
                <w:sz w:val="20"/>
                <w:szCs w:val="20"/>
              </w:rPr>
              <w:t xml:space="preserve">□作業指導書　□組織章程</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文件編號</w:t>
            </w:r>
          </w:p>
        </w:tc>
        <w:tc>
          <w:tcPr>
            <w:tcW w:type="dxa" w:w="251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1D10ATP0059-(01)</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機密等級</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□機密　■內部使用　□一般</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制定日期</w:t>
            </w:r>
          </w:p>
        </w:tc>
        <w:tc>
          <w:tcPr>
            <w:tcW w:type="dxa" w:w="251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115年03月</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部科類別</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□委員會　□醫療類　□護理類</w:t>
            </w:r>
          </w:p>
          <w:p>
            <w:pPr>
              <w:spacing w:line="235"/>
              <w:jc w:val="left"/>
            </w:pPr>
            <w:r>
              <w:rPr>
                <w:rFonts w:ascii="標楷體" w:cs="標楷體" w:eastAsia="標楷體" w:hAnsi="標楷體"/>
                <w:b w:val="false"/>
                <w:bCs w:val="false"/>
                <w:sz w:val="20"/>
                <w:szCs w:val="20"/>
              </w:rPr>
              <w:t xml:space="preserve">□醫技類　■行政類</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制定單位</w:t>
            </w:r>
          </w:p>
        </w:tc>
        <w:tc>
          <w:tcPr>
            <w:tcW w:type="dxa" w:w="251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總務部</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管制類別</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■院內管制　　□部科室管制</w:t>
            </w:r>
          </w:p>
        </w:tc>
        <w:tc>
          <w:tcPr>
            <w:tcW w:type="dxa" w:w="12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適用院區</w:t>
            </w:r>
          </w:p>
        </w:tc>
        <w:tc>
          <w:tcPr>
            <w:tcW w:type="dxa" w:w="2512"/>
            <w:vMerge w:val="restart"/>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■沙鹿　■大甲　■長青</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文件年限</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□一年　　　　■二年</w:t>
            </w:r>
          </w:p>
        </w:tc>
        <w:tc>
          <w:tcPr>
            <w:tcW w:type="dxa" w:w="12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12"/>
            <w:vMerge w:val="continue"/>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after="300"/>
      </w:pP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2504"/>
        <w:gridCol w:w="2504"/>
        <w:gridCol w:w="2504"/>
      </w:tblGrid>
      <w:tr>
        <w:tc>
          <w:tcPr>
            <w:tcW w:type="dxa" w:w="8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版　次</w:t>
            </w:r>
          </w:p>
        </w:tc>
        <w:tc>
          <w:tcPr>
            <w:tcW w:type="dxa" w:w="2504"/>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核　准</w:t>
            </w:r>
          </w:p>
        </w:tc>
        <w:tc>
          <w:tcPr>
            <w:tcW w:type="dxa" w:w="2504"/>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審　核</w:t>
            </w:r>
          </w:p>
        </w:tc>
        <w:tc>
          <w:tcPr>
            <w:tcW w:type="dxa" w:w="2504"/>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制　定</w:t>
            </w:r>
          </w:p>
        </w:tc>
      </w:tr>
      <w:tr>
        <w:tc>
          <w:tcPr>
            <w:tcW w:type="dxa" w:w="8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center"/>
            </w:pPr>
            <w:r>
              <w:rPr>
                <w:rFonts w:ascii="標楷體" w:cs="標楷體" w:eastAsia="標楷體" w:hAnsi="標楷體"/>
                <w:b/>
                <w:bCs/>
                <w:sz w:val="17"/>
                <w:szCs w:val="17"/>
              </w:rPr>
              <w:t xml:space="preserve">副院長（ISO 50001管理代表）</w:t>
            </w:r>
          </w:p>
        </w:tc>
        <w:tc>
          <w:tcPr>
            <w:tcW w:type="dxa" w:w="2504"/>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單位主管（總務部部長）</w:t>
            </w:r>
          </w:p>
        </w:tc>
        <w:tc>
          <w:tcPr>
            <w:tcW w:type="dxa" w:w="2504"/>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制定者（總務部）</w:t>
            </w:r>
          </w:p>
        </w:tc>
      </w:tr>
      <w:tr>
        <w:trPr>
          <w:trHeight w:val="900" w:hRule="atLeast"/>
        </w:trPr>
        <w:tc>
          <w:tcPr>
            <w:tcW w:type="dxa" w:w="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第一版</w:t>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900" w:hRule="atLeast"/>
        </w:trPr>
        <w:tc>
          <w:tcPr>
            <w:tcW w:type="dxa" w:w="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第二版</w:t>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900" w:hRule="atLeast"/>
        </w:trPr>
        <w:tc>
          <w:tcPr>
            <w:tcW w:type="dxa" w:w="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第三版</w:t>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ectPr>
          <w:footerReference w:type="default" r:id="rId7"/>
          <w:pgSz w:w="11906" w:h="16838" w:orient="portrait"/>
          <w:pgMar w:top="1440" w:right="1797" w:bottom="1440" w:left="1797" w:header="720" w:footer="567" w:gutter="0"/>
          <w:pgNumType/>
          <w:docGrid w:linePitch="360"/>
        </w:sectPr>
      </w:pPr>
    </w:p>
    <w:p>
      <w:pPr>
        <w:keepNext/>
        <w:spacing w:after="50" w:before="150" w:line="240"/>
      </w:pPr>
      <w:r>
        <w:rPr>
          <w:rFonts w:ascii="標楷體" w:cs="標楷體" w:eastAsia="標楷體" w:hAnsi="標楷體"/>
          <w:b/>
          <w:bCs/>
          <w:sz w:val="24"/>
          <w:szCs w:val="24"/>
        </w:rPr>
        <w:t xml:space="preserve">1.目　　的：</w:t>
      </w:r>
    </w:p>
    <w:p>
      <w:pPr>
        <w:keepNext w:val="false"/>
        <w:spacing w:after="0" w:before="50" w:line="240"/>
        <w:ind w:left="720" w:hanging="240"/>
      </w:pPr>
      <w:r>
        <w:rPr>
          <w:rFonts w:ascii="標楷體" w:cs="標楷體" w:eastAsia="標楷體" w:hAnsi="標楷體"/>
          <w:b w:val="false"/>
          <w:bCs w:val="false"/>
          <w:sz w:val="24"/>
          <w:szCs w:val="24"/>
        </w:rPr>
        <w:t xml:space="preserve">1.1 為瞭解本院內部與外部之議題，鑑別利害相關者之需求與期望，並決定本院能源管理系統之範疇與邊界，據以決定應處理之風險與機會及其因應措施，特訂定本程序。</w:t>
      </w:r>
    </w:p>
    <w:p>
      <w:pPr>
        <w:keepNext w:val="false"/>
        <w:spacing w:after="0" w:before="50" w:line="240"/>
        <w:ind w:left="720" w:hanging="240"/>
      </w:pPr>
      <w:r>
        <w:rPr>
          <w:rFonts w:ascii="標楷體" w:cs="標楷體" w:eastAsia="標楷體" w:hAnsi="標楷體"/>
          <w:b w:val="false"/>
          <w:bCs w:val="false"/>
          <w:sz w:val="24"/>
          <w:szCs w:val="24"/>
        </w:rPr>
        <w:t xml:space="preserve">1.2 透過風險與機會之鑑別、評估與處理，確保能源管理系統可達成預期結果、預防或減少非預期之影響，並促成能源績效之持續改進。</w:t>
      </w:r>
    </w:p>
    <w:p>
      <w:pPr>
        <w:keepNext w:val="false"/>
        <w:spacing w:after="0" w:before="50" w:line="240"/>
        <w:ind w:left="720" w:hanging="240"/>
      </w:pPr>
      <w:r>
        <w:rPr>
          <w:rFonts w:ascii="標楷體" w:cs="標楷體" w:eastAsia="標楷體" w:hAnsi="標楷體"/>
          <w:b w:val="false"/>
          <w:bCs w:val="false"/>
          <w:sz w:val="24"/>
          <w:szCs w:val="24"/>
        </w:rPr>
        <w:t xml:space="preserve">1.3 本程序依 ISO 50001:2018 能源管理系統－附使用指引之要求事項條款 4.1 瞭解組織及其前後環節、4.2 瞭解利害相關者之需求與期望、4.3 決定能源管理系統之範疇及 6.1 處理風險與機會之措施訂定。</w:t>
      </w:r>
    </w:p>
    <w:p>
      <w:pPr>
        <w:keepNext/>
        <w:spacing w:after="50" w:before="150" w:line="240"/>
      </w:pPr>
      <w:r>
        <w:rPr>
          <w:rFonts w:ascii="標楷體" w:cs="標楷體" w:eastAsia="標楷體" w:hAnsi="標楷體"/>
          <w:b/>
          <w:bCs/>
          <w:sz w:val="24"/>
          <w:szCs w:val="24"/>
        </w:rPr>
        <w:t xml:space="preserve">2.適用範圍：</w:t>
      </w:r>
    </w:p>
    <w:p>
      <w:pPr>
        <w:keepNext w:val="false"/>
        <w:spacing w:after="0" w:before="50" w:line="240"/>
        <w:ind w:left="720" w:hanging="240"/>
      </w:pPr>
      <w:r>
        <w:rPr>
          <w:rFonts w:ascii="標楷體" w:cs="標楷體" w:eastAsia="標楷體" w:hAnsi="標楷體"/>
          <w:b w:val="false"/>
          <w:bCs w:val="false"/>
          <w:sz w:val="24"/>
          <w:szCs w:val="24"/>
        </w:rPr>
        <w:t xml:space="preserve">2.1 本院沙鹿院區、大甲院區及長青院區，有關能源使用、能源消耗及能源效率之各項活動與服務均屬之。</w:t>
      </w:r>
    </w:p>
    <w:p>
      <w:pPr>
        <w:keepNext w:val="false"/>
        <w:spacing w:after="0" w:before="50" w:line="240"/>
        <w:ind w:left="720" w:hanging="240"/>
      </w:pPr>
      <w:r>
        <w:rPr>
          <w:rFonts w:ascii="標楷體" w:cs="標楷體" w:eastAsia="標楷體" w:hAnsi="標楷體"/>
          <w:b w:val="false"/>
          <w:bCs w:val="false"/>
          <w:sz w:val="24"/>
          <w:szCs w:val="24"/>
        </w:rPr>
        <w:t xml:space="preserve">2.2 與本院能源管理系統有關之各項內部、外部資訊，及利害相關者所關切之相關事項。</w:t>
      </w:r>
    </w:p>
    <w:p>
      <w:pPr>
        <w:keepNext w:val="false"/>
        <w:spacing w:after="0" w:before="50" w:line="240"/>
        <w:ind w:left="720" w:hanging="240"/>
      </w:pPr>
      <w:r>
        <w:rPr>
          <w:rFonts w:ascii="標楷體" w:cs="標楷體" w:eastAsia="標楷體" w:hAnsi="標楷體"/>
          <w:b w:val="false"/>
          <w:bCs w:val="false"/>
          <w:sz w:val="24"/>
          <w:szCs w:val="24"/>
        </w:rPr>
        <w:t xml:space="preserve">2.3 適用對象：本院各單位及全體同仁，其從事之各項作業活動、設施設備運轉、維修保養及承攬商施工作業。</w:t>
      </w:r>
    </w:p>
    <w:p>
      <w:pPr>
        <w:keepNext/>
        <w:spacing w:after="50" w:before="150" w:line="240"/>
      </w:pPr>
      <w:r>
        <w:rPr>
          <w:rFonts w:ascii="標楷體" w:cs="標楷體" w:eastAsia="標楷體" w:hAnsi="標楷體"/>
          <w:b/>
          <w:bCs/>
          <w:sz w:val="24"/>
          <w:szCs w:val="24"/>
        </w:rPr>
        <w:t xml:space="preserve">3.名詞解釋：</w:t>
      </w:r>
    </w:p>
    <w:p>
      <w:pPr>
        <w:keepNext w:val="false"/>
        <w:spacing w:after="0" w:before="50" w:line="240"/>
        <w:ind w:left="720" w:hanging="240"/>
      </w:pPr>
      <w:r>
        <w:rPr>
          <w:rFonts w:ascii="標楷體" w:cs="標楷體" w:eastAsia="標楷體" w:hAnsi="標楷體"/>
          <w:b w:val="false"/>
          <w:bCs w:val="false"/>
          <w:sz w:val="24"/>
          <w:szCs w:val="24"/>
        </w:rPr>
        <w:t xml:space="preserve">3.1 前後環節(Context of the Organization)：影響本院能源管理系統目的及達成其預期結果能力之內部與外部議題總和。</w:t>
      </w:r>
    </w:p>
    <w:p>
      <w:pPr>
        <w:keepNext w:val="false"/>
        <w:spacing w:after="0" w:before="50" w:line="240"/>
        <w:ind w:left="720" w:hanging="240"/>
      </w:pPr>
      <w:r>
        <w:rPr>
          <w:rFonts w:ascii="標楷體" w:cs="標楷體" w:eastAsia="標楷體" w:hAnsi="標楷體"/>
          <w:b w:val="false"/>
          <w:bCs w:val="false"/>
          <w:sz w:val="24"/>
          <w:szCs w:val="24"/>
        </w:rPr>
        <w:t xml:space="preserve">3.2 利害相關者(Interested Party)：對本院能源績效具影響、受其影響，或自認受其影響之個人或組織。</w:t>
      </w:r>
    </w:p>
    <w:p>
      <w:pPr>
        <w:keepNext w:val="false"/>
        <w:spacing w:after="0" w:before="50" w:line="240"/>
        <w:ind w:left="720" w:hanging="240"/>
      </w:pPr>
      <w:r>
        <w:rPr>
          <w:rFonts w:ascii="標楷體" w:cs="標楷體" w:eastAsia="標楷體" w:hAnsi="標楷體"/>
          <w:b w:val="false"/>
          <w:bCs w:val="false"/>
          <w:sz w:val="24"/>
          <w:szCs w:val="24"/>
        </w:rPr>
        <w:t xml:space="preserve">3.3 風險(Risk)：不確定性之影響；就能源管理系統而言，指可能導致能源績效劣化、法規不符或系統失效之事件。</w:t>
      </w:r>
    </w:p>
    <w:p>
      <w:pPr>
        <w:keepNext w:val="false"/>
        <w:spacing w:after="0" w:before="50" w:line="240"/>
        <w:ind w:left="720" w:hanging="240"/>
      </w:pPr>
      <w:r>
        <w:rPr>
          <w:rFonts w:ascii="標楷體" w:cs="標楷體" w:eastAsia="標楷體" w:hAnsi="標楷體"/>
          <w:b w:val="false"/>
          <w:bCs w:val="false"/>
          <w:sz w:val="24"/>
          <w:szCs w:val="24"/>
        </w:rPr>
        <w:t xml:space="preserve">3.4 機會(Opportunity)：可促成能源績效改進或系統效能提升之有利情勢。</w:t>
      </w:r>
    </w:p>
    <w:p>
      <w:pPr>
        <w:keepNext w:val="false"/>
        <w:spacing w:after="0" w:before="50" w:line="240"/>
        <w:ind w:left="720" w:hanging="240"/>
      </w:pPr>
      <w:r>
        <w:rPr>
          <w:rFonts w:ascii="標楷體" w:cs="標楷體" w:eastAsia="標楷體" w:hAnsi="標楷體"/>
          <w:b w:val="false"/>
          <w:bCs w:val="false"/>
          <w:sz w:val="24"/>
          <w:szCs w:val="24"/>
        </w:rPr>
        <w:t xml:space="preserve">3.5 風險值：後果等級與可能性等級之乘積，用以判定風險等級。</w:t>
      </w:r>
    </w:p>
    <w:p>
      <w:pPr>
        <w:keepNext w:val="false"/>
        <w:spacing w:after="0" w:before="50" w:line="240"/>
        <w:ind w:left="720" w:hanging="240"/>
      </w:pPr>
      <w:r>
        <w:rPr>
          <w:rFonts w:ascii="標楷體" w:cs="標楷體" w:eastAsia="標楷體" w:hAnsi="標楷體"/>
          <w:b w:val="false"/>
          <w:bCs w:val="false"/>
          <w:sz w:val="24"/>
          <w:szCs w:val="24"/>
        </w:rPr>
        <w:t xml:space="preserve">3.6 殘餘風險(Residual Risk)：採取管制措施後仍存在之風險。</w:t>
      </w:r>
    </w:p>
    <w:p>
      <w:pPr>
        <w:keepNext w:val="false"/>
        <w:spacing w:after="0" w:before="50" w:line="240"/>
        <w:ind w:left="720" w:hanging="240"/>
      </w:pPr>
      <w:r>
        <w:rPr>
          <w:rFonts w:ascii="標楷體" w:cs="標楷體" w:eastAsia="標楷體" w:hAnsi="標楷體"/>
          <w:b w:val="false"/>
          <w:bCs w:val="false"/>
          <w:sz w:val="24"/>
          <w:szCs w:val="24"/>
        </w:rPr>
        <w:t xml:space="preserve">3.7 SWOT 分析：就本院內部優勢(S)、內部弱勢(W)、外部機會(O)、外部威脅(T)四構面所為之綜整分析。</w:t>
      </w:r>
    </w:p>
    <w:p>
      <w:pPr>
        <w:keepNext w:val="false"/>
        <w:spacing w:after="0" w:before="50" w:line="240"/>
        <w:ind w:left="720" w:hanging="240"/>
      </w:pPr>
      <w:r>
        <w:rPr>
          <w:rFonts w:ascii="標楷體" w:cs="標楷體" w:eastAsia="標楷體" w:hAnsi="標楷體"/>
          <w:b w:val="false"/>
          <w:bCs w:val="false"/>
          <w:sz w:val="24"/>
          <w:szCs w:val="24"/>
        </w:rPr>
        <w:t xml:space="preserve">3.8 能源管理盤查小組：本院依 ISO 50001:2018 條款 5.3 設置之能源管理團隊，其編制與職責依 1D10CTC5001 能源管理盤查小組組織章程暨職責說明辦理。</w:t>
      </w:r>
    </w:p>
    <w:p>
      <w:pPr>
        <w:keepNext/>
        <w:spacing w:after="50" w:before="150" w:line="240"/>
      </w:pPr>
      <w:r>
        <w:rPr>
          <w:rFonts w:ascii="標楷體" w:cs="標楷體" w:eastAsia="標楷體" w:hAnsi="標楷體"/>
          <w:b/>
          <w:bCs/>
          <w:sz w:val="24"/>
          <w:szCs w:val="24"/>
        </w:rPr>
        <w:t xml:space="preserve">4.相關文件：</w:t>
      </w:r>
    </w:p>
    <w:p>
      <w:pPr>
        <w:keepNext w:val="false"/>
        <w:spacing w:after="0" w:before="50" w:line="240"/>
        <w:ind w:left="720" w:hanging="240"/>
      </w:pPr>
      <w:r>
        <w:rPr>
          <w:rFonts w:ascii="標楷體" w:cs="標楷體" w:eastAsia="標楷體" w:hAnsi="標楷體"/>
          <w:b w:val="false"/>
          <w:bCs w:val="false"/>
          <w:sz w:val="24"/>
          <w:szCs w:val="24"/>
        </w:rPr>
        <w:t xml:space="preserve">4.1 1D10ATQ0001 能源管理手冊。</w:t>
      </w:r>
    </w:p>
    <w:p>
      <w:pPr>
        <w:keepNext w:val="false"/>
        <w:spacing w:after="0" w:before="50" w:line="240"/>
        <w:ind w:left="720" w:hanging="240"/>
      </w:pPr>
      <w:r>
        <w:rPr>
          <w:rFonts w:ascii="標楷體" w:cs="標楷體" w:eastAsia="標楷體" w:hAnsi="標楷體"/>
          <w:b w:val="false"/>
          <w:bCs w:val="false"/>
          <w:sz w:val="24"/>
          <w:szCs w:val="24"/>
        </w:rPr>
        <w:t xml:space="preserve">4.2 1D10CTC5001 能源管理盤查小組組織章程暨職責說明。</w:t>
      </w:r>
    </w:p>
    <w:p>
      <w:pPr>
        <w:keepNext w:val="false"/>
        <w:spacing w:after="0" w:before="50" w:line="240"/>
        <w:ind w:left="720" w:hanging="240"/>
      </w:pPr>
      <w:r>
        <w:rPr>
          <w:rFonts w:ascii="標楷體" w:cs="標楷體" w:eastAsia="標楷體" w:hAnsi="標楷體"/>
          <w:b w:val="false"/>
          <w:bCs w:val="false"/>
          <w:sz w:val="24"/>
          <w:szCs w:val="24"/>
        </w:rPr>
        <w:t xml:space="preserve">4.3 1D10ATP0048 能源審查程序書。</w:t>
      </w:r>
    </w:p>
    <w:p>
      <w:pPr>
        <w:keepNext w:val="false"/>
        <w:spacing w:after="0" w:before="50" w:line="240"/>
        <w:ind w:left="720" w:hanging="240"/>
      </w:pPr>
      <w:r>
        <w:rPr>
          <w:rFonts w:ascii="標楷體" w:cs="標楷體" w:eastAsia="標楷體" w:hAnsi="標楷體"/>
          <w:b w:val="false"/>
          <w:bCs w:val="false"/>
          <w:sz w:val="24"/>
          <w:szCs w:val="24"/>
        </w:rPr>
        <w:t xml:space="preserve">4.4 1D10ATP0066 能源管理目標與方案管理程序書。</w:t>
      </w:r>
    </w:p>
    <w:p>
      <w:pPr>
        <w:keepNext w:val="false"/>
        <w:spacing w:after="0" w:before="50" w:line="240"/>
        <w:ind w:left="720" w:hanging="240"/>
      </w:pPr>
      <w:r>
        <w:rPr>
          <w:rFonts w:ascii="標楷體" w:cs="標楷體" w:eastAsia="標楷體" w:hAnsi="標楷體"/>
          <w:b w:val="false"/>
          <w:bCs w:val="false"/>
          <w:sz w:val="24"/>
          <w:szCs w:val="24"/>
        </w:rPr>
        <w:t xml:space="preserve">4.5 1D10ATP0046 能源系統監督與量測管理程序書。</w:t>
      </w:r>
    </w:p>
    <w:p>
      <w:pPr>
        <w:keepNext w:val="false"/>
        <w:spacing w:after="0" w:before="50" w:line="240"/>
        <w:ind w:left="720" w:hanging="240"/>
      </w:pPr>
      <w:r>
        <w:rPr>
          <w:rFonts w:ascii="標楷體" w:cs="標楷體" w:eastAsia="標楷體" w:hAnsi="標楷體"/>
          <w:b w:val="false"/>
          <w:bCs w:val="false"/>
          <w:sz w:val="24"/>
          <w:szCs w:val="24"/>
        </w:rPr>
        <w:t xml:space="preserve">4.6 1D10ATP0051 能源法規鑑別與符合性查核程序書。</w:t>
      </w:r>
    </w:p>
    <w:p>
      <w:pPr>
        <w:keepNext w:val="false"/>
        <w:spacing w:after="0" w:before="50" w:line="240"/>
        <w:ind w:left="720" w:hanging="240"/>
      </w:pPr>
      <w:r>
        <w:rPr>
          <w:rFonts w:ascii="標楷體" w:cs="標楷體" w:eastAsia="標楷體" w:hAnsi="標楷體"/>
          <w:b w:val="false"/>
          <w:bCs w:val="false"/>
          <w:sz w:val="24"/>
          <w:szCs w:val="24"/>
        </w:rPr>
        <w:t xml:space="preserve">4.7 1D10ATP0050 能源系統變更管理程序書。</w:t>
      </w:r>
    </w:p>
    <w:p>
      <w:pPr>
        <w:keepNext w:val="false"/>
        <w:spacing w:after="0" w:before="50" w:line="240"/>
        <w:ind w:left="720" w:hanging="240"/>
      </w:pPr>
      <w:r>
        <w:rPr>
          <w:rFonts w:ascii="標楷體" w:cs="標楷體" w:eastAsia="標楷體" w:hAnsi="標楷體"/>
          <w:b w:val="false"/>
          <w:bCs w:val="false"/>
          <w:sz w:val="24"/>
          <w:szCs w:val="24"/>
        </w:rPr>
        <w:t xml:space="preserve">4.8 0220ATP0001 文件制定與管制作業辦法。</w:t>
      </w:r>
    </w:p>
    <w:p>
      <w:pPr>
        <w:keepNext/>
        <w:spacing w:after="50" w:before="150" w:line="240"/>
      </w:pPr>
      <w:r>
        <w:rPr>
          <w:rFonts w:ascii="標楷體" w:cs="標楷體" w:eastAsia="標楷體" w:hAnsi="標楷體"/>
          <w:b/>
          <w:bCs/>
          <w:sz w:val="24"/>
          <w:szCs w:val="24"/>
        </w:rPr>
        <w:t xml:space="preserve">5.權　　責：</w:t>
      </w:r>
    </w:p>
    <w:p>
      <w:pPr>
        <w:keepNext w:val="false"/>
        <w:spacing w:after="0" w:before="50" w:line="240"/>
        <w:ind w:left="720" w:hanging="240"/>
      </w:pPr>
      <w:r>
        <w:rPr>
          <w:rFonts w:ascii="標楷體" w:cs="標楷體" w:eastAsia="標楷體" w:hAnsi="標楷體"/>
          <w:b w:val="false"/>
          <w:bCs w:val="false"/>
          <w:sz w:val="24"/>
          <w:szCs w:val="24"/>
        </w:rPr>
        <w:t xml:space="preserve">5.1 總院長：於管理階層審查中審視內外部議題及風險與機會之變更，並決議所需資源。</w:t>
      </w:r>
    </w:p>
    <w:p>
      <w:pPr>
        <w:keepNext w:val="false"/>
        <w:spacing w:after="0" w:before="50" w:line="240"/>
        <w:ind w:left="720" w:hanging="240"/>
      </w:pPr>
      <w:r>
        <w:rPr>
          <w:rFonts w:ascii="標楷體" w:cs="標楷體" w:eastAsia="標楷體" w:hAnsi="標楷體"/>
          <w:b w:val="false"/>
          <w:bCs w:val="false"/>
          <w:sz w:val="24"/>
          <w:szCs w:val="24"/>
        </w:rPr>
        <w:t xml:space="preserve">5.2 ISO 50001管理代表：核定本院能源管理系統之範疇與邊界；核定風險評估結果及風險處理對策；指派人員研擬重大風險之改善措施。</w:t>
      </w:r>
    </w:p>
    <w:p>
      <w:pPr>
        <w:keepNext w:val="false"/>
        <w:spacing w:after="0" w:before="50" w:line="240"/>
        <w:ind w:left="720" w:hanging="240"/>
      </w:pPr>
      <w:r>
        <w:rPr>
          <w:rFonts w:ascii="標楷體" w:cs="標楷體" w:eastAsia="標楷體" w:hAnsi="標楷體"/>
          <w:b w:val="false"/>
          <w:bCs w:val="false"/>
          <w:sz w:val="24"/>
          <w:szCs w:val="24"/>
        </w:rPr>
        <w:t xml:space="preserve">5.3 能源管理盤查小組：審議內外部議題、利害相關者需求與期望之鑑別結果；審議風險與機會評估結果及處理對策；追蹤管制措施之有效性。</w:t>
      </w:r>
    </w:p>
    <w:p>
      <w:pPr>
        <w:keepNext w:val="false"/>
        <w:spacing w:after="0" w:before="50" w:line="240"/>
        <w:ind w:left="720" w:hanging="240"/>
      </w:pPr>
      <w:r>
        <w:rPr>
          <w:rFonts w:ascii="標楷體" w:cs="標楷體" w:eastAsia="標楷體" w:hAnsi="標楷體"/>
          <w:b w:val="false"/>
          <w:bCs w:val="false"/>
          <w:sz w:val="24"/>
          <w:szCs w:val="24"/>
        </w:rPr>
        <w:t xml:space="preserve">5.4 總務部（執行秘書）：彙整內外部議題與利害相關者資訊；辦理 SWOT 分析及風險評估之作業；維護附件一至附件三；保存相關文件化資訊。</w:t>
      </w:r>
    </w:p>
    <w:p>
      <w:pPr>
        <w:keepNext w:val="false"/>
        <w:spacing w:after="0" w:before="50" w:line="240"/>
        <w:ind w:left="720" w:hanging="240"/>
      </w:pPr>
      <w:r>
        <w:rPr>
          <w:rFonts w:ascii="標楷體" w:cs="標楷體" w:eastAsia="標楷體" w:hAnsi="標楷體"/>
          <w:b w:val="false"/>
          <w:bCs w:val="false"/>
          <w:sz w:val="24"/>
          <w:szCs w:val="24"/>
        </w:rPr>
        <w:t xml:space="preserve">5.5 各單位主管：提供所屬單位之內外部議題資訊及利害相關者意見；參與風險鑑別與評估；執行經核定之風險處理對策。</w:t>
      </w:r>
    </w:p>
    <w:p>
      <w:pPr>
        <w:keepNext/>
        <w:spacing w:after="50" w:before="150" w:line="240"/>
      </w:pPr>
      <w:r>
        <w:rPr>
          <w:rFonts w:ascii="標楷體" w:cs="標楷體" w:eastAsia="標楷體" w:hAnsi="標楷體"/>
          <w:b/>
          <w:bCs/>
          <w:sz w:val="24"/>
          <w:szCs w:val="24"/>
        </w:rPr>
        <w:t xml:space="preserve">6.內　　容：</w:t>
      </w:r>
    </w:p>
    <w:p>
      <w:pPr>
        <w:keepNext w:val="false"/>
        <w:spacing w:after="0" w:before="50" w:line="240"/>
        <w:ind w:left="720" w:hanging="240"/>
      </w:pPr>
      <w:r>
        <w:rPr>
          <w:rFonts w:ascii="標楷體" w:cs="標楷體" w:eastAsia="標楷體" w:hAnsi="標楷體"/>
          <w:b w:val="false"/>
          <w:bCs w:val="false"/>
          <w:sz w:val="24"/>
          <w:szCs w:val="24"/>
        </w:rPr>
        <w:t xml:space="preserve">6.1 組織之前後環節（條款 4.1）</w:t>
      </w:r>
    </w:p>
    <w:p>
      <w:pPr>
        <w:keepNext w:val="false"/>
        <w:spacing w:after="0" w:before="0" w:line="240"/>
        <w:ind w:left="960" w:hanging="240"/>
      </w:pPr>
      <w:r>
        <w:rPr>
          <w:rFonts w:ascii="標楷體" w:cs="標楷體" w:eastAsia="標楷體" w:hAnsi="標楷體"/>
          <w:b w:val="false"/>
          <w:bCs w:val="false"/>
          <w:sz w:val="24"/>
          <w:szCs w:val="24"/>
        </w:rPr>
        <w:t xml:space="preserve">6.1.1 本院應考量影響能源管理系統預期結果之內部與外部議題，其鑑別構面如下：</w:t>
      </w:r>
    </w:p>
    <w:p>
      <w:pPr>
        <w:keepNext w:val="false"/>
        <w:spacing w:after="0" w:before="0" w:line="240"/>
        <w:ind w:left="1200" w:hanging="240"/>
      </w:pPr>
      <w:r>
        <w:rPr>
          <w:rFonts w:ascii="標楷體" w:cs="標楷體" w:eastAsia="標楷體" w:hAnsi="標楷體"/>
          <w:b w:val="false"/>
          <w:bCs w:val="false"/>
          <w:sz w:val="24"/>
          <w:szCs w:val="24"/>
        </w:rPr>
        <w:t xml:space="preserve">6.1.1.1 外部議題：法規政策（如國家 2050 淨零排放路徑、氣候變遷因應法、能源管理法）、科技發展、能源市場與價格波動、醫療機構評鑑要求、社會與社區期待、氣候與外氣條件。</w:t>
      </w:r>
    </w:p>
    <w:p>
      <w:pPr>
        <w:keepNext w:val="false"/>
        <w:spacing w:after="0" w:before="0" w:line="240"/>
        <w:ind w:left="1200" w:hanging="240"/>
      </w:pPr>
      <w:r>
        <w:rPr>
          <w:rFonts w:ascii="標楷體" w:cs="標楷體" w:eastAsia="標楷體" w:hAnsi="標楷體"/>
          <w:b w:val="false"/>
          <w:bCs w:val="false"/>
          <w:sz w:val="24"/>
          <w:szCs w:val="24"/>
        </w:rPr>
        <w:t xml:space="preserve">6.1.1.2 內部議題：本院使命與願景、組織文化與同仁能源意識、院區建築與設備老化程度、醫療服務量變動、財務與預算條件、能源數據管理能力。</w:t>
      </w:r>
    </w:p>
    <w:p>
      <w:pPr>
        <w:keepNext w:val="false"/>
        <w:spacing w:after="0" w:before="0" w:line="240"/>
        <w:ind w:left="960" w:hanging="240"/>
      </w:pPr>
      <w:r>
        <w:rPr>
          <w:rFonts w:ascii="標楷體" w:cs="標楷體" w:eastAsia="標楷體" w:hAnsi="標楷體"/>
          <w:b w:val="false"/>
          <w:bCs w:val="false"/>
          <w:sz w:val="24"/>
          <w:szCs w:val="24"/>
        </w:rPr>
        <w:t xml:space="preserve">6.1.2 本院以 SWOT 分析方法綜整內外部議題，歸結策略方向，並據以展開各功能單位之執行策略與營運目標；分析結果登錄於附件一。</w:t>
      </w:r>
    </w:p>
    <w:p>
      <w:pPr>
        <w:keepNext w:val="false"/>
        <w:spacing w:after="0" w:before="0" w:line="240"/>
        <w:ind w:left="960" w:hanging="240"/>
      </w:pPr>
      <w:r>
        <w:rPr>
          <w:rFonts w:ascii="標楷體" w:cs="標楷體" w:eastAsia="標楷體" w:hAnsi="標楷體"/>
          <w:b w:val="false"/>
          <w:bCs w:val="false"/>
          <w:sz w:val="24"/>
          <w:szCs w:val="24"/>
        </w:rPr>
        <w:t xml:space="preserve">6.1.3 SWOT 分析之策略對應如下表：</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900"/>
        <w:gridCol w:w="4153"/>
        <w:gridCol w:w="4153"/>
      </w:tblGrid>
      <w:tr>
        <w:trPr>
          <w:tblHeader/>
        </w:trPr>
        <w:tc>
          <w:tcPr>
            <w:tcW w:type="dxa" w:w="19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SWOT</w:t>
            </w:r>
          </w:p>
        </w:tc>
        <w:tc>
          <w:tcPr>
            <w:tcW w:type="dxa" w:w="4153"/>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內部優勢（S）</w:t>
            </w:r>
          </w:p>
        </w:tc>
        <w:tc>
          <w:tcPr>
            <w:tcW w:type="dxa" w:w="4153"/>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內部弱勢（W）</w:t>
            </w:r>
          </w:p>
        </w:tc>
      </w:tr>
      <w:tr>
        <w:tc>
          <w:tcPr>
            <w:tcW w:type="dxa" w:w="19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外部機會（O）</w:t>
            </w:r>
          </w:p>
        </w:tc>
        <w:tc>
          <w:tcPr>
            <w:tcW w:type="dxa" w:w="41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槓桿效益（SO 增長型）策略：擴大既有節能技術應用、爭取補助資源、發展智能監控示範</w:t>
            </w:r>
          </w:p>
        </w:tc>
        <w:tc>
          <w:tcPr>
            <w:tcW w:type="dxa" w:w="41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固本保元（WO 扭轉型）策略：引進外部技術支援、與供應商合作導入高效設備</w:t>
            </w:r>
          </w:p>
        </w:tc>
      </w:tr>
      <w:tr>
        <w:tc>
          <w:tcPr>
            <w:tcW w:type="dxa" w:w="19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外部威脅（T）</w:t>
            </w:r>
          </w:p>
        </w:tc>
        <w:tc>
          <w:tcPr>
            <w:tcW w:type="dxa" w:w="41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逆境突破（ST 多角經營）策略：以既有能力因應法規趨嚴、分散能源來源、導入再生能源</w:t>
            </w:r>
          </w:p>
        </w:tc>
        <w:tc>
          <w:tcPr>
            <w:tcW w:type="dxa" w:w="41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危機因應（WT 防禦型）策略：優先汰換高風險老舊設備、建立備援與應變機制、強化人員訓練</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6.1.4 內外部議題資訊之蒐集時機：</w:t>
      </w:r>
    </w:p>
    <w:p>
      <w:pPr>
        <w:keepNext w:val="false"/>
        <w:spacing w:after="0" w:before="0" w:line="240"/>
        <w:ind w:left="1200" w:hanging="240"/>
      </w:pPr>
      <w:r>
        <w:rPr>
          <w:rFonts w:ascii="標楷體" w:cs="標楷體" w:eastAsia="標楷體" w:hAnsi="標楷體"/>
          <w:b w:val="false"/>
          <w:bCs w:val="false"/>
          <w:sz w:val="24"/>
          <w:szCs w:val="24"/>
        </w:rPr>
        <w:t xml:space="preserve">6.1.4.1 本院內部環境變遷，致能源管理系統之適用性有所變更時。</w:t>
      </w:r>
    </w:p>
    <w:p>
      <w:pPr>
        <w:keepNext w:val="false"/>
        <w:spacing w:after="0" w:before="0" w:line="240"/>
        <w:ind w:left="1200" w:hanging="240"/>
      </w:pPr>
      <w:r>
        <w:rPr>
          <w:rFonts w:ascii="標楷體" w:cs="標楷體" w:eastAsia="標楷體" w:hAnsi="標楷體"/>
          <w:b w:val="false"/>
          <w:bCs w:val="false"/>
          <w:sz w:val="24"/>
          <w:szCs w:val="24"/>
        </w:rPr>
        <w:t xml:space="preserve">6.1.4.2 利害相關者所關切之事項新增或修訂，致能源管理系統之適用性有所變更時。</w:t>
      </w:r>
    </w:p>
    <w:p>
      <w:pPr>
        <w:keepNext w:val="false"/>
        <w:spacing w:after="0" w:before="0" w:line="240"/>
        <w:ind w:left="1200" w:hanging="240"/>
      </w:pPr>
      <w:r>
        <w:rPr>
          <w:rFonts w:ascii="標楷體" w:cs="標楷體" w:eastAsia="標楷體" w:hAnsi="標楷體"/>
          <w:b w:val="false"/>
          <w:bCs w:val="false"/>
          <w:sz w:val="24"/>
          <w:szCs w:val="24"/>
        </w:rPr>
        <w:t xml:space="preserve">6.1.4.3 本院醫療服務項目、設施設備或作業活動有所變更，致對現行法規要求事項之適用性有所變更時。</w:t>
      </w:r>
    </w:p>
    <w:p>
      <w:pPr>
        <w:keepNext w:val="false"/>
        <w:spacing w:after="0" w:before="0" w:line="240"/>
        <w:ind w:left="1200" w:hanging="240"/>
      </w:pPr>
      <w:r>
        <w:rPr>
          <w:rFonts w:ascii="標楷體" w:cs="標楷體" w:eastAsia="標楷體" w:hAnsi="標楷體"/>
          <w:b w:val="false"/>
          <w:bCs w:val="false"/>
          <w:sz w:val="24"/>
          <w:szCs w:val="24"/>
        </w:rPr>
        <w:t xml:space="preserve">6.1.4.4 每年至少檢討一次，並於能源審查更新時同步檢討。</w:t>
      </w:r>
    </w:p>
    <w:p>
      <w:pPr>
        <w:keepNext w:val="false"/>
        <w:spacing w:after="0" w:before="0" w:line="240"/>
        <w:ind w:left="960" w:hanging="240"/>
      </w:pPr>
      <w:r>
        <w:rPr>
          <w:rFonts w:ascii="標楷體" w:cs="標楷體" w:eastAsia="標楷體" w:hAnsi="標楷體"/>
          <w:b w:val="false"/>
          <w:bCs w:val="false"/>
          <w:sz w:val="24"/>
          <w:szCs w:val="24"/>
        </w:rPr>
        <w:t xml:space="preserve">6.1.5 各單位透過日常業務接觸蒐集相關資訊，送總務部彙整列管；總務部並應透過適當管道（如主管機關網站、公報）蒐集與本院能源使用相關之法令規章，其鑑別與更新依 1D10ATP0051 辦理。</w:t>
      </w:r>
    </w:p>
    <w:p>
      <w:pPr>
        <w:keepNext w:val="false"/>
        <w:spacing w:after="0" w:before="50" w:line="240"/>
        <w:ind w:left="720" w:hanging="240"/>
      </w:pPr>
      <w:r>
        <w:rPr>
          <w:rFonts w:ascii="標楷體" w:cs="標楷體" w:eastAsia="標楷體" w:hAnsi="標楷體"/>
          <w:b w:val="false"/>
          <w:bCs w:val="false"/>
          <w:sz w:val="24"/>
          <w:szCs w:val="24"/>
        </w:rPr>
        <w:t xml:space="preserve">6.2 利害相關者之需求與期望（條款 4.2）</w:t>
      </w:r>
    </w:p>
    <w:p>
      <w:pPr>
        <w:keepNext w:val="false"/>
        <w:spacing w:after="0" w:before="0" w:line="240"/>
        <w:ind w:left="960" w:hanging="240"/>
      </w:pPr>
      <w:r>
        <w:rPr>
          <w:rFonts w:ascii="標楷體" w:cs="標楷體" w:eastAsia="標楷體" w:hAnsi="標楷體"/>
          <w:b w:val="false"/>
          <w:bCs w:val="false"/>
          <w:sz w:val="24"/>
          <w:szCs w:val="24"/>
        </w:rPr>
        <w:t xml:space="preserve">6.2.1 本院由各單位人員代表就日常業務活動所接觸之外部對象進行討論，歸納並鑑別本院之利害相關者類別。</w:t>
      </w:r>
    </w:p>
    <w:p>
      <w:pPr>
        <w:keepNext w:val="false"/>
        <w:spacing w:after="0" w:before="0" w:line="240"/>
        <w:ind w:left="960" w:hanging="240"/>
      </w:pPr>
      <w:r>
        <w:rPr>
          <w:rFonts w:ascii="標楷體" w:cs="標楷體" w:eastAsia="標楷體" w:hAnsi="標楷體"/>
          <w:b w:val="false"/>
          <w:bCs w:val="false"/>
          <w:sz w:val="24"/>
          <w:szCs w:val="24"/>
        </w:rPr>
        <w:t xml:space="preserve">6.2.2 本院主要利害相關者及其與能源績效相關之需求與期望如下表；其溝通管道、頻度及符合性說明，登錄於附件二。</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4003"/>
        <w:gridCol w:w="4003"/>
      </w:tblGrid>
      <w:tr>
        <w:trPr>
          <w:tblHeader/>
        </w:trPr>
        <w:tc>
          <w:tcPr>
            <w:tcW w:type="dxa" w:w="2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利害相關者</w:t>
            </w:r>
          </w:p>
        </w:tc>
        <w:tc>
          <w:tcPr>
            <w:tcW w:type="dxa" w:w="4003"/>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與能源績效相關之需求與期望</w:t>
            </w:r>
          </w:p>
        </w:tc>
        <w:tc>
          <w:tcPr>
            <w:tcW w:type="dxa" w:w="4003"/>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主要溝通管道</w:t>
            </w:r>
          </w:p>
        </w:tc>
      </w:tr>
      <w:tr>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病人與家屬</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就醫環境之溫度、照明與空氣品質舒適；醫療服務不因節能而受影響</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意見箱、滿意度調查、院內公告</w:t>
            </w:r>
          </w:p>
        </w:tc>
      </w:tr>
      <w:tr>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本院同仁</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工作環境舒適；節能措施不增加不合理負擔；能源管理教育訓練</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院內會議、EIP 平台、教育訓練</w:t>
            </w:r>
          </w:p>
        </w:tc>
      </w:tr>
      <w:tr>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主管機關</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符合能源管理法及相關子法；能源查核與節約能源計畫依規報備</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公文往來、查核作業、報備系統</w:t>
            </w:r>
          </w:p>
        </w:tc>
      </w:tr>
      <w:tr>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補助機關</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計畫執行進度符合期程；績效指標達成；經費核銷合規</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計畫報告、查核會議</w:t>
            </w:r>
          </w:p>
        </w:tc>
      </w:tr>
      <w:tr>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供應商與承攬商</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採購規格明確；能源效率要求可行；施工期間配合能源管理規定</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採購文件、承攬商說明會</w:t>
            </w:r>
          </w:p>
        </w:tc>
      </w:tr>
      <w:tr>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驗證機構</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能源管理系統符合 ISO 50001:2018 要求；文件化資訊完整可追溯</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驗證稽核、文件審查</w:t>
            </w:r>
          </w:p>
        </w:tc>
      </w:tr>
      <w:tr>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當地社區</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減少碳排放與環境衝擊；善盡企業社會責任</w:t>
            </w:r>
          </w:p>
        </w:tc>
        <w:tc>
          <w:tcPr>
            <w:tcW w:type="dxa" w:w="40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官方網站、社區活動</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6.2.3 本院每年至少檢視一次溝通管道與處理機制之有效性；符合性說明為「否」者，應提出解決方案並納入風險評估。</w:t>
      </w:r>
    </w:p>
    <w:p>
      <w:pPr>
        <w:keepNext w:val="false"/>
        <w:spacing w:after="0" w:before="50" w:line="240"/>
        <w:ind w:left="720" w:hanging="240"/>
      </w:pPr>
      <w:r>
        <w:rPr>
          <w:rFonts w:ascii="標楷體" w:cs="標楷體" w:eastAsia="標楷體" w:hAnsi="標楷體"/>
          <w:b w:val="false"/>
          <w:bCs w:val="false"/>
          <w:sz w:val="24"/>
          <w:szCs w:val="24"/>
        </w:rPr>
        <w:t xml:space="preserve">6.3 能源管理系統範疇與邊界之決定（條款 4.3）</w:t>
      </w:r>
    </w:p>
    <w:p>
      <w:pPr>
        <w:keepNext w:val="false"/>
        <w:spacing w:after="0" w:before="0" w:line="240"/>
        <w:ind w:left="960" w:hanging="240"/>
      </w:pPr>
      <w:r>
        <w:rPr>
          <w:rFonts w:ascii="標楷體" w:cs="標楷體" w:eastAsia="標楷體" w:hAnsi="標楷體"/>
          <w:b w:val="false"/>
          <w:bCs w:val="false"/>
          <w:sz w:val="24"/>
          <w:szCs w:val="24"/>
        </w:rPr>
        <w:t xml:space="preserve">6.3.1 本院依 6.1 之內外部議題、6.2 之利害相關者需求與期望，並考量本院對能源使用、能源消耗及能源效率之管制權，決定能源管理系統之範疇與邊界。</w:t>
      </w:r>
    </w:p>
    <w:p>
      <w:pPr>
        <w:keepNext w:val="false"/>
        <w:spacing w:after="0" w:before="0" w:line="240"/>
        <w:ind w:left="960" w:hanging="240"/>
      </w:pPr>
      <w:r>
        <w:rPr>
          <w:rFonts w:ascii="標楷體" w:cs="標楷體" w:eastAsia="標楷體" w:hAnsi="標楷體"/>
          <w:b w:val="false"/>
          <w:bCs w:val="false"/>
          <w:sz w:val="24"/>
          <w:szCs w:val="24"/>
        </w:rPr>
        <w:t xml:space="preserve">6.3.2 本院能源管理系統之範疇為沙鹿院區、大甲院區及長青院區；邊界為各院區之土地、建築物、設施設備及其所屬之能源使用活動；能源型式包括電力、天然氣、柴油及汽油。</w:t>
      </w:r>
    </w:p>
    <w:p>
      <w:pPr>
        <w:keepNext w:val="false"/>
        <w:spacing w:after="0" w:before="0" w:line="240"/>
        <w:ind w:left="960" w:hanging="240"/>
      </w:pPr>
      <w:r>
        <w:rPr>
          <w:rFonts w:ascii="標楷體" w:cs="標楷體" w:eastAsia="標楷體" w:hAnsi="標楷體"/>
          <w:b w:val="false"/>
          <w:bCs w:val="false"/>
          <w:sz w:val="24"/>
          <w:szCs w:val="24"/>
        </w:rPr>
        <w:t xml:space="preserve">6.3.3 範疇與邊界經 ISO 50001管理代表核定後，載明於 1D10ATQ0001 能源管理手冊第 2 章，並保存為文件化資訊。</w:t>
      </w:r>
    </w:p>
    <w:p>
      <w:pPr>
        <w:keepNext w:val="false"/>
        <w:spacing w:after="0" w:before="0" w:line="240"/>
        <w:ind w:left="960" w:hanging="240"/>
      </w:pPr>
      <w:r>
        <w:rPr>
          <w:rFonts w:ascii="標楷體" w:cs="標楷體" w:eastAsia="標楷體" w:hAnsi="標楷體"/>
          <w:b w:val="false"/>
          <w:bCs w:val="false"/>
          <w:sz w:val="24"/>
          <w:szCs w:val="24"/>
        </w:rPr>
        <w:t xml:space="preserve">6.3.4 範疇與邊界變更時，應重新評估其對能源基準(能源基線EnB)、能源績效指標(EnPI)及風險評估結果之影響，並依 1D10ATP0050 能源系統變更管理程序書辦理。</w:t>
      </w:r>
    </w:p>
    <w:p>
      <w:pPr>
        <w:keepNext w:val="false"/>
        <w:spacing w:after="0" w:before="50" w:line="240"/>
        <w:ind w:left="720" w:hanging="240"/>
      </w:pPr>
      <w:r>
        <w:rPr>
          <w:rFonts w:ascii="標楷體" w:cs="標楷體" w:eastAsia="標楷體" w:hAnsi="標楷體"/>
          <w:b w:val="false"/>
          <w:bCs w:val="false"/>
          <w:sz w:val="24"/>
          <w:szCs w:val="24"/>
        </w:rPr>
        <w:t xml:space="preserve">6.4 風險與機會之鑑別（條款 6.1）</w:t>
      </w:r>
    </w:p>
    <w:p>
      <w:pPr>
        <w:keepNext w:val="false"/>
        <w:spacing w:after="0" w:before="0" w:line="240"/>
        <w:ind w:left="960" w:hanging="240"/>
      </w:pPr>
      <w:r>
        <w:rPr>
          <w:rFonts w:ascii="標楷體" w:cs="標楷體" w:eastAsia="標楷體" w:hAnsi="標楷體"/>
          <w:b w:val="false"/>
          <w:bCs w:val="false"/>
          <w:sz w:val="24"/>
          <w:szCs w:val="24"/>
        </w:rPr>
        <w:t xml:space="preserve">6.4.1 規劃能源管理系統時，本院應考量 6.1 所鑑別之議題、6.2 之需求與期望及 6.3 之範疇與邊界，決定應處理之風險與機會。</w:t>
      </w:r>
    </w:p>
    <w:p>
      <w:pPr>
        <w:keepNext w:val="false"/>
        <w:spacing w:after="0" w:before="0" w:line="240"/>
        <w:ind w:left="960" w:hanging="240"/>
      </w:pPr>
      <w:r>
        <w:rPr>
          <w:rFonts w:ascii="標楷體" w:cs="標楷體" w:eastAsia="標楷體" w:hAnsi="標楷體"/>
          <w:b w:val="false"/>
          <w:bCs w:val="false"/>
          <w:sz w:val="24"/>
          <w:szCs w:val="24"/>
        </w:rPr>
        <w:t xml:space="preserve">6.4.2 風險與機會之鑑別，應併同考量下列事項：</w:t>
      </w:r>
    </w:p>
    <w:p>
      <w:pPr>
        <w:keepNext w:val="false"/>
        <w:spacing w:after="0" w:before="0" w:line="240"/>
        <w:ind w:left="1200" w:hanging="240"/>
      </w:pPr>
      <w:r>
        <w:rPr>
          <w:rFonts w:ascii="標楷體" w:cs="標楷體" w:eastAsia="標楷體" w:hAnsi="標楷體"/>
          <w:b w:val="false"/>
          <w:bCs w:val="false"/>
          <w:sz w:val="24"/>
          <w:szCs w:val="24"/>
        </w:rPr>
        <w:t xml:space="preserve">6.4.2.1 依 1D10ATP0048 能源審查所鑑別之重大能源使用(SEU)。</w:t>
      </w:r>
    </w:p>
    <w:p>
      <w:pPr>
        <w:keepNext w:val="false"/>
        <w:spacing w:after="0" w:before="0" w:line="240"/>
        <w:ind w:left="1200" w:hanging="240"/>
      </w:pPr>
      <w:r>
        <w:rPr>
          <w:rFonts w:ascii="標楷體" w:cs="標楷體" w:eastAsia="標楷體" w:hAnsi="標楷體"/>
          <w:b w:val="false"/>
          <w:bCs w:val="false"/>
          <w:sz w:val="24"/>
          <w:szCs w:val="24"/>
        </w:rPr>
        <w:t xml:space="preserve">6.4.2.2 依 1D10ATP0051 所鑑別之法規要求事項及其他要求事項之守規性義務。</w:t>
      </w:r>
    </w:p>
    <w:p>
      <w:pPr>
        <w:keepNext w:val="false"/>
        <w:spacing w:after="0" w:before="0" w:line="240"/>
        <w:ind w:left="1200" w:hanging="240"/>
      </w:pPr>
      <w:r>
        <w:rPr>
          <w:rFonts w:ascii="標楷體" w:cs="標楷體" w:eastAsia="標楷體" w:hAnsi="標楷體"/>
          <w:b w:val="false"/>
          <w:bCs w:val="false"/>
          <w:sz w:val="24"/>
          <w:szCs w:val="24"/>
        </w:rPr>
        <w:t xml:space="preserve">6.4.2.3 依 1D10ATP0046 監督與量測結果所顯示之能源績效變化。</w:t>
      </w:r>
    </w:p>
    <w:p>
      <w:pPr>
        <w:keepNext w:val="false"/>
        <w:spacing w:after="0" w:before="0" w:line="240"/>
        <w:ind w:left="960" w:hanging="240"/>
      </w:pPr>
      <w:r>
        <w:rPr>
          <w:rFonts w:ascii="標楷體" w:cs="標楷體" w:eastAsia="標楷體" w:hAnsi="標楷體"/>
          <w:b w:val="false"/>
          <w:bCs w:val="false"/>
          <w:sz w:val="24"/>
          <w:szCs w:val="24"/>
        </w:rPr>
        <w:t xml:space="preserve">6.4.3 就 SWOT 分析所歸結之內部弱勢(W)與外部威脅(T)項目，優先實施風險評估；就外部機會(O)與內部優勢(S)項目，鑑別其可運用之機會。</w:t>
      </w:r>
    </w:p>
    <w:p>
      <w:pPr>
        <w:keepNext w:val="false"/>
        <w:spacing w:after="0" w:before="0" w:line="240"/>
        <w:ind w:left="960" w:hanging="240"/>
      </w:pPr>
      <w:r>
        <w:rPr>
          <w:rFonts w:ascii="標楷體" w:cs="標楷體" w:eastAsia="標楷體" w:hAnsi="標楷體"/>
          <w:b w:val="false"/>
          <w:bCs w:val="false"/>
          <w:sz w:val="24"/>
          <w:szCs w:val="24"/>
        </w:rPr>
        <w:t xml:space="preserve">6.4.4 鑑別結果登錄於附件三「風險與機會評估表」。</w:t>
      </w:r>
    </w:p>
    <w:p>
      <w:pPr>
        <w:keepNext w:val="false"/>
        <w:spacing w:after="0" w:before="50" w:line="240"/>
        <w:ind w:left="720" w:hanging="240"/>
      </w:pPr>
      <w:r>
        <w:rPr>
          <w:rFonts w:ascii="標楷體" w:cs="標楷體" w:eastAsia="標楷體" w:hAnsi="標楷體"/>
          <w:b w:val="false"/>
          <w:bCs w:val="false"/>
          <w:sz w:val="24"/>
          <w:szCs w:val="24"/>
        </w:rPr>
        <w:t xml:space="preserve">6.5 風險評估準則</w:t>
      </w:r>
    </w:p>
    <w:p>
      <w:pPr>
        <w:keepNext w:val="false"/>
        <w:spacing w:after="0" w:before="0" w:line="240"/>
        <w:ind w:left="960" w:hanging="240"/>
      </w:pPr>
      <w:r>
        <w:rPr>
          <w:rFonts w:ascii="標楷體" w:cs="標楷體" w:eastAsia="標楷體" w:hAnsi="標楷體"/>
          <w:b w:val="false"/>
          <w:bCs w:val="false"/>
          <w:sz w:val="24"/>
          <w:szCs w:val="24"/>
        </w:rPr>
        <w:t xml:space="preserve">6.5.1 後果之分級基準：依事件對本院能源績效、醫療作業及法規符合性之影響程度評定。</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100"/>
        <w:gridCol w:w="1700"/>
        <w:gridCol w:w="7406"/>
      </w:tblGrid>
      <w:tr>
        <w:trPr>
          <w:tblHeader/>
        </w:trPr>
        <w:tc>
          <w:tcPr>
            <w:tcW w:type="dxa" w:w="11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等級</w:t>
            </w:r>
          </w:p>
        </w:tc>
        <w:tc>
          <w:tcPr>
            <w:tcW w:type="dxa" w:w="1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後果程度</w:t>
            </w:r>
          </w:p>
        </w:tc>
        <w:tc>
          <w:tcPr>
            <w:tcW w:type="dxa" w:w="74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影響說明</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5</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極重大</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能源供應中斷致醫療作業停擺；或違反法規遭主管機關裁罰、限期停業；須動用大量資金處理</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4</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重大</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重大能源使用設備停機且短期無法復原；遭主管機關限期改善；須動用相當預算處理</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3</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中度</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單一系統效能顯著下降，須停機一週以內修復；年度能源目標無法達成</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2</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輕微</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局部設備異常，一日以內可恢復；對能源績效影響有限</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極輕微</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對能源績效及醫療作業不造成影響</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6.5.2 可能性（機率）之分級基準：</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100"/>
        <w:gridCol w:w="1700"/>
        <w:gridCol w:w="7406"/>
      </w:tblGrid>
      <w:tr>
        <w:trPr>
          <w:tblHeader/>
        </w:trPr>
        <w:tc>
          <w:tcPr>
            <w:tcW w:type="dxa" w:w="11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等級</w:t>
            </w:r>
          </w:p>
        </w:tc>
        <w:tc>
          <w:tcPr>
            <w:tcW w:type="dxa" w:w="1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可能性</w:t>
            </w:r>
          </w:p>
        </w:tc>
        <w:tc>
          <w:tcPr>
            <w:tcW w:type="dxa" w:w="74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評估標準</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5</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極高</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確定發生（每日發生一次之可能性）</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4</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高</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極可能發生（每週發生一次之可能性）</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3</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中</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可能發生（每季發生一次之可能性）</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2</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小</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或許發生（每年發生一次之可能性）</w:t>
            </w:r>
          </w:p>
        </w:tc>
      </w:tr>
      <w:tr>
        <w:tc>
          <w:tcPr>
            <w:tcW w:type="dxa" w:w="11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w:t>
            </w:r>
          </w:p>
        </w:tc>
        <w:tc>
          <w:tcPr>
            <w:tcW w:type="dxa" w:w="1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極小</w:t>
            </w:r>
          </w:p>
        </w:tc>
        <w:tc>
          <w:tcPr>
            <w:tcW w:type="dxa" w:w="7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極微發生</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6.5.3 風險值之計算：</w:t>
      </w:r>
    </w:p>
    <w:p>
      <w:pPr>
        <w:spacing w:after="60" w:before="60"/>
        <w:jc w:val="center"/>
      </w:pPr>
      <w:r>
        <w:rPr>
          <w:rFonts w:ascii="標楷體" w:cs="標楷體" w:eastAsia="標楷體" w:hAnsi="標楷體"/>
          <w:b/>
          <w:bCs/>
          <w:sz w:val="26"/>
          <w:szCs w:val="26"/>
        </w:rPr>
        <w:t xml:space="preserve">風險值 ＝ 後果等級 × 可能性等級</w:t>
      </w:r>
    </w:p>
    <w:p>
      <w:pPr>
        <w:keepNext w:val="false"/>
        <w:spacing w:after="0" w:before="0" w:line="240"/>
        <w:ind w:left="960" w:hanging="240"/>
      </w:pPr>
      <w:r>
        <w:rPr>
          <w:rFonts w:ascii="標楷體" w:cs="標楷體" w:eastAsia="標楷體" w:hAnsi="標楷體"/>
          <w:b w:val="false"/>
          <w:bCs w:val="false"/>
          <w:sz w:val="24"/>
          <w:szCs w:val="24"/>
        </w:rPr>
        <w:t xml:space="preserve">6.5.4 風險矩陣表：</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1200"/>
        <w:gridCol w:w="1560"/>
        <w:gridCol w:w="1560"/>
        <w:gridCol w:w="1560"/>
        <w:gridCol w:w="1560"/>
        <w:gridCol w:w="1566"/>
      </w:tblGrid>
      <w:tr>
        <w:trPr>
          <w:tblHeader/>
        </w:trPr>
        <w:tc>
          <w:tcPr>
            <w:tcW w:type="dxa" w:w="12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後果等級</w:t>
            </w:r>
          </w:p>
        </w:tc>
        <w:tc>
          <w:tcPr>
            <w:tcW w:type="dxa" w:w="1200"/>
            <w:vMerge w:val="restart"/>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806"/>
            <w:gridSpan w:val="5"/>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可能性（機率）等級</w:t>
            </w:r>
          </w:p>
        </w:tc>
      </w:tr>
      <w:tr>
        <w:tc>
          <w:tcPr>
            <w:tcW w:type="dxa" w:w="12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2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6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極小 1</w:t>
            </w:r>
          </w:p>
        </w:tc>
        <w:tc>
          <w:tcPr>
            <w:tcW w:type="dxa" w:w="156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小 2</w:t>
            </w:r>
          </w:p>
        </w:tc>
        <w:tc>
          <w:tcPr>
            <w:tcW w:type="dxa" w:w="156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中 3</w:t>
            </w:r>
          </w:p>
        </w:tc>
        <w:tc>
          <w:tcPr>
            <w:tcW w:type="dxa" w:w="156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高 4</w:t>
            </w:r>
          </w:p>
        </w:tc>
        <w:tc>
          <w:tcPr>
            <w:tcW w:type="dxa" w:w="156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極高 5</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極重大</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5</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5</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10</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15</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20</w:t>
            </w:r>
          </w:p>
        </w:tc>
        <w:tc>
          <w:tcPr>
            <w:tcW w:type="dxa" w:w="1566"/>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25</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重大</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4</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4</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8</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12</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16</w:t>
            </w:r>
          </w:p>
        </w:tc>
        <w:tc>
          <w:tcPr>
            <w:tcW w:type="dxa" w:w="1566"/>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20</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中度</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3</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3</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6</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9</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12</w:t>
            </w:r>
          </w:p>
        </w:tc>
        <w:tc>
          <w:tcPr>
            <w:tcW w:type="dxa" w:w="156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15</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輕微</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2</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2</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4</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6</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8</w:t>
            </w:r>
          </w:p>
        </w:tc>
        <w:tc>
          <w:tcPr>
            <w:tcW w:type="dxa" w:w="156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10</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極輕微</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1</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2</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3</w:t>
            </w:r>
          </w:p>
        </w:tc>
        <w:tc>
          <w:tcPr>
            <w:tcW w:type="dxa" w:w="156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4</w:t>
            </w:r>
          </w:p>
        </w:tc>
        <w:tc>
          <w:tcPr>
            <w:tcW w:type="dxa" w:w="156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5</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6.5.5 風險等級之劃分與處理原則：</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2000"/>
        <w:gridCol w:w="6406"/>
      </w:tblGrid>
      <w:tr>
        <w:trPr>
          <w:tblHeader/>
        </w:trPr>
        <w:tc>
          <w:tcPr>
            <w:tcW w:type="dxa" w:w="18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風險值</w:t>
            </w:r>
          </w:p>
        </w:tc>
        <w:tc>
          <w:tcPr>
            <w:tcW w:type="dxa" w:w="2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風險等級</w:t>
            </w:r>
          </w:p>
        </w:tc>
        <w:tc>
          <w:tcPr>
            <w:tcW w:type="dxa" w:w="64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處理原則</w:t>
            </w:r>
          </w:p>
        </w:tc>
      </w:tr>
      <w:tr>
        <w:tc>
          <w:tcPr>
            <w:tcW w:type="dxa" w:w="1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16 ～ 25</w:t>
            </w:r>
          </w:p>
        </w:tc>
        <w:tc>
          <w:tcPr>
            <w:tcW w:type="dxa" w:w="200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重大風險</w:t>
            </w:r>
          </w:p>
        </w:tc>
        <w:tc>
          <w:tcPr>
            <w:tcW w:type="dxa" w:w="6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不可接受。應立即研擬降低風險對策，並提報能源管理盤查小組審議、陳 ISO 50001管理代表核定</w:t>
            </w:r>
          </w:p>
        </w:tc>
      </w:tr>
      <w:tr>
        <w:tc>
          <w:tcPr>
            <w:tcW w:type="dxa" w:w="1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9 ～ 15</w:t>
            </w:r>
          </w:p>
        </w:tc>
        <w:tc>
          <w:tcPr>
            <w:tcW w:type="dxa" w:w="200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中等風險</w:t>
            </w:r>
          </w:p>
        </w:tc>
        <w:tc>
          <w:tcPr>
            <w:tcW w:type="dxa" w:w="6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通常不需採取管制措施；惟有法規要求或外部利害相關者指定時，應實施對應措施</w:t>
            </w:r>
          </w:p>
        </w:tc>
      </w:tr>
      <w:tr>
        <w:tc>
          <w:tcPr>
            <w:tcW w:type="dxa" w:w="1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 ～ 8</w:t>
            </w:r>
          </w:p>
        </w:tc>
        <w:tc>
          <w:tcPr>
            <w:tcW w:type="dxa" w:w="200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低風險</w:t>
            </w:r>
          </w:p>
        </w:tc>
        <w:tc>
          <w:tcPr>
            <w:tcW w:type="dxa" w:w="6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可接受風險，不需另採措施，列入常態管理</w:t>
            </w:r>
          </w:p>
        </w:tc>
      </w:tr>
    </w:tbl>
    <w:p>
      <w:pPr>
        <w:spacing w:after="0" w:before="0" w:line="120"/>
      </w:pPr>
    </w:p>
    <w:p>
      <w:pPr>
        <w:keepNext w:val="false"/>
        <w:spacing w:after="0" w:before="50" w:line="240"/>
        <w:ind w:left="720" w:hanging="240"/>
      </w:pPr>
      <w:r>
        <w:rPr>
          <w:rFonts w:ascii="標楷體" w:cs="標楷體" w:eastAsia="標楷體" w:hAnsi="標楷體"/>
          <w:b w:val="false"/>
          <w:bCs w:val="false"/>
          <w:sz w:val="24"/>
          <w:szCs w:val="24"/>
        </w:rPr>
        <w:t xml:space="preserve">6.6 風險處理與機會之運用</w:t>
      </w:r>
    </w:p>
    <w:p>
      <w:pPr>
        <w:keepNext w:val="false"/>
        <w:spacing w:after="0" w:before="0" w:line="240"/>
        <w:ind w:left="960" w:hanging="240"/>
      </w:pPr>
      <w:r>
        <w:rPr>
          <w:rFonts w:ascii="標楷體" w:cs="標楷體" w:eastAsia="標楷體" w:hAnsi="標楷體"/>
          <w:b w:val="false"/>
          <w:bCs w:val="false"/>
          <w:sz w:val="24"/>
          <w:szCs w:val="24"/>
        </w:rPr>
        <w:t xml:space="preserve">6.6.1 風險處理措施之類型：</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8406"/>
      </w:tblGrid>
      <w:tr>
        <w:trPr>
          <w:tblHeader/>
        </w:trPr>
        <w:tc>
          <w:tcPr>
            <w:tcW w:type="dxa" w:w="18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措施類型</w:t>
            </w:r>
          </w:p>
        </w:tc>
        <w:tc>
          <w:tcPr>
            <w:tcW w:type="dxa" w:w="84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說明</w:t>
            </w:r>
          </w:p>
        </w:tc>
      </w:tr>
      <w:tr>
        <w:tc>
          <w:tcPr>
            <w:tcW w:type="dxa" w:w="180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預防</w:t>
            </w:r>
          </w:p>
        </w:tc>
        <w:tc>
          <w:tcPr>
            <w:tcW w:type="dxa" w:w="8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事前採行措施及管理，使風險不致發生</w:t>
            </w:r>
          </w:p>
        </w:tc>
      </w:tr>
      <w:tr>
        <w:tc>
          <w:tcPr>
            <w:tcW w:type="dxa" w:w="180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減少</w:t>
            </w:r>
          </w:p>
        </w:tc>
        <w:tc>
          <w:tcPr>
            <w:tcW w:type="dxa" w:w="8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採取措施降低風險發生機率或後果嚴重度</w:t>
            </w:r>
          </w:p>
        </w:tc>
      </w:tr>
      <w:tr>
        <w:tc>
          <w:tcPr>
            <w:tcW w:type="dxa" w:w="180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移轉</w:t>
            </w:r>
          </w:p>
        </w:tc>
        <w:tc>
          <w:tcPr>
            <w:tcW w:type="dxa" w:w="8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藉由保險、委外或契約條款，將風險移轉予第三方</w:t>
            </w:r>
          </w:p>
        </w:tc>
      </w:tr>
      <w:tr>
        <w:tc>
          <w:tcPr>
            <w:tcW w:type="dxa" w:w="1800"/>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接受</w:t>
            </w:r>
          </w:p>
        </w:tc>
        <w:tc>
          <w:tcPr>
            <w:tcW w:type="dxa" w:w="84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接受並保留風險，同時控制其危害程度</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6.6.2 經判定為重大風險者，由 ISO 50001管理代表指派相關人員研擬對應之改善措施、管制方式或管制計畫，並提報能源管理盤查小組審議。</w:t>
      </w:r>
    </w:p>
    <w:p>
      <w:pPr>
        <w:keepNext w:val="false"/>
        <w:spacing w:after="0" w:before="0" w:line="240"/>
        <w:ind w:left="960" w:hanging="240"/>
      </w:pPr>
      <w:r>
        <w:rPr>
          <w:rFonts w:ascii="標楷體" w:cs="標楷體" w:eastAsia="標楷體" w:hAnsi="標楷體"/>
          <w:b w:val="false"/>
          <w:bCs w:val="false"/>
          <w:sz w:val="24"/>
          <w:szCs w:val="24"/>
        </w:rPr>
        <w:t xml:space="preserve">6.6.3 經鑑別之機會，應評估其可行性與效益，並轉化為能源目標、能源標的及行動計畫，依 1D10ATP0066 能源管理目標與方案管理程序書辦理。</w:t>
      </w:r>
    </w:p>
    <w:p>
      <w:pPr>
        <w:keepNext w:val="false"/>
        <w:spacing w:after="0" w:before="0" w:line="240"/>
        <w:ind w:left="960" w:hanging="240"/>
      </w:pPr>
      <w:r>
        <w:rPr>
          <w:rFonts w:ascii="標楷體" w:cs="標楷體" w:eastAsia="標楷體" w:hAnsi="標楷體"/>
          <w:b w:val="false"/>
          <w:bCs w:val="false"/>
          <w:sz w:val="24"/>
          <w:szCs w:val="24"/>
        </w:rPr>
        <w:t xml:space="preserve">6.6.4 風險處理措施涉及設施設備變更者，依 1D10ATP0050 辦理；涉及採購者，依 0410ATP0020 辦理。</w:t>
      </w:r>
    </w:p>
    <w:p>
      <w:pPr>
        <w:keepNext w:val="false"/>
        <w:spacing w:after="0" w:before="50" w:line="240"/>
        <w:ind w:left="720" w:hanging="240"/>
      </w:pPr>
      <w:r>
        <w:rPr>
          <w:rFonts w:ascii="標楷體" w:cs="標楷體" w:eastAsia="標楷體" w:hAnsi="標楷體"/>
          <w:b w:val="false"/>
          <w:bCs w:val="false"/>
          <w:sz w:val="24"/>
          <w:szCs w:val="24"/>
        </w:rPr>
        <w:t xml:space="preserve">6.7 追蹤與再評估</w:t>
      </w:r>
    </w:p>
    <w:p>
      <w:pPr>
        <w:keepNext w:val="false"/>
        <w:spacing w:after="0" w:before="0" w:line="240"/>
        <w:ind w:left="960" w:hanging="240"/>
      </w:pPr>
      <w:r>
        <w:rPr>
          <w:rFonts w:ascii="標楷體" w:cs="標楷體" w:eastAsia="標楷體" w:hAnsi="標楷體"/>
          <w:b w:val="false"/>
          <w:bCs w:val="false"/>
          <w:sz w:val="24"/>
          <w:szCs w:val="24"/>
        </w:rPr>
        <w:t xml:space="preserve">6.7.1 風險改善計畫應彙整控管並持續追蹤，以確保改善完成。</w:t>
      </w:r>
    </w:p>
    <w:p>
      <w:pPr>
        <w:keepNext w:val="false"/>
        <w:spacing w:after="0" w:before="0" w:line="240"/>
        <w:ind w:left="960" w:hanging="240"/>
      </w:pPr>
      <w:r>
        <w:rPr>
          <w:rFonts w:ascii="標楷體" w:cs="標楷體" w:eastAsia="標楷體" w:hAnsi="標楷體"/>
          <w:b w:val="false"/>
          <w:bCs w:val="false"/>
          <w:sz w:val="24"/>
          <w:szCs w:val="24"/>
        </w:rPr>
        <w:t xml:space="preserve">6.7.2 各項改善措施完成後，應進行風險再評估，確認殘餘風險已降至可接受程度，並記載於附件三。</w:t>
      </w:r>
    </w:p>
    <w:p>
      <w:pPr>
        <w:keepNext w:val="false"/>
        <w:spacing w:after="0" w:before="0" w:line="240"/>
        <w:ind w:left="960" w:hanging="240"/>
      </w:pPr>
      <w:r>
        <w:rPr>
          <w:rFonts w:ascii="標楷體" w:cs="標楷體" w:eastAsia="標楷體" w:hAnsi="標楷體"/>
          <w:b w:val="false"/>
          <w:bCs w:val="false"/>
          <w:sz w:val="24"/>
          <w:szCs w:val="24"/>
        </w:rPr>
        <w:t xml:space="preserve">6.7.3 管制或矯正措施經評估為無效者，由 ISO 50001管理代表視需要召集能源管理盤查小組討論，重新檢討附件三是否應增修風險評估項目，並重新評估。</w:t>
      </w:r>
    </w:p>
    <w:p>
      <w:pPr>
        <w:keepNext w:val="false"/>
        <w:spacing w:after="0" w:before="0" w:line="240"/>
        <w:ind w:left="960" w:hanging="240"/>
      </w:pPr>
      <w:r>
        <w:rPr>
          <w:rFonts w:ascii="標楷體" w:cs="標楷體" w:eastAsia="標楷體" w:hAnsi="標楷體"/>
          <w:b w:val="false"/>
          <w:bCs w:val="false"/>
          <w:sz w:val="24"/>
          <w:szCs w:val="24"/>
        </w:rPr>
        <w:t xml:space="preserve">6.7.4 當年度風險管制對策之有效性，應於管理階層審查中檢討，依 1D10ATQ0001 能源管理手冊 6.6.5 辦理。</w:t>
      </w:r>
    </w:p>
    <w:p>
      <w:pPr>
        <w:keepNext w:val="false"/>
        <w:spacing w:after="0" w:before="50" w:line="240"/>
        <w:ind w:left="720" w:hanging="240"/>
      </w:pPr>
      <w:r>
        <w:rPr>
          <w:rFonts w:ascii="標楷體" w:cs="標楷體" w:eastAsia="標楷體" w:hAnsi="標楷體"/>
          <w:b w:val="false"/>
          <w:bCs w:val="false"/>
          <w:sz w:val="24"/>
          <w:szCs w:val="24"/>
        </w:rPr>
        <w:t xml:space="preserve">6.8 執行頻率與更新時機</w:t>
      </w:r>
    </w:p>
    <w:p>
      <w:pPr>
        <w:keepNext w:val="false"/>
        <w:spacing w:after="0" w:before="0" w:line="240"/>
        <w:ind w:left="960" w:hanging="240"/>
      </w:pPr>
      <w:r>
        <w:rPr>
          <w:rFonts w:ascii="標楷體" w:cs="標楷體" w:eastAsia="標楷體" w:hAnsi="標楷體"/>
          <w:b w:val="false"/>
          <w:bCs w:val="false"/>
          <w:sz w:val="24"/>
          <w:szCs w:val="24"/>
        </w:rPr>
        <w:t xml:space="preserve">6.8.1 本院每年至少執行一次風險評估。</w:t>
      </w:r>
    </w:p>
    <w:p>
      <w:pPr>
        <w:keepNext w:val="false"/>
        <w:spacing w:after="0" w:before="0" w:line="240"/>
        <w:ind w:left="960" w:hanging="240"/>
      </w:pPr>
      <w:r>
        <w:rPr>
          <w:rFonts w:ascii="標楷體" w:cs="標楷體" w:eastAsia="標楷體" w:hAnsi="標楷體"/>
          <w:b w:val="false"/>
          <w:bCs w:val="false"/>
          <w:sz w:val="24"/>
          <w:szCs w:val="24"/>
        </w:rPr>
        <w:t xml:space="preserve">6.8.2 有下列情形之一者，應不定期執行風險評估：</w:t>
      </w:r>
    </w:p>
    <w:p>
      <w:pPr>
        <w:keepNext w:val="false"/>
        <w:spacing w:after="0" w:before="0" w:line="240"/>
        <w:ind w:left="1200" w:hanging="240"/>
      </w:pPr>
      <w:r>
        <w:rPr>
          <w:rFonts w:ascii="標楷體" w:cs="標楷體" w:eastAsia="標楷體" w:hAnsi="標楷體"/>
          <w:b w:val="false"/>
          <w:bCs w:val="false"/>
          <w:sz w:val="24"/>
          <w:szCs w:val="24"/>
        </w:rPr>
        <w:t xml:space="preserve">6.8.2.1 新增作業流程或新設施啟用時。</w:t>
      </w:r>
    </w:p>
    <w:p>
      <w:pPr>
        <w:keepNext w:val="false"/>
        <w:spacing w:after="0" w:before="0" w:line="240"/>
        <w:ind w:left="1200" w:hanging="240"/>
      </w:pPr>
      <w:r>
        <w:rPr>
          <w:rFonts w:ascii="標楷體" w:cs="標楷體" w:eastAsia="標楷體" w:hAnsi="標楷體"/>
          <w:b w:val="false"/>
          <w:bCs w:val="false"/>
          <w:sz w:val="24"/>
          <w:szCs w:val="24"/>
        </w:rPr>
        <w:t xml:space="preserve">6.8.2.2 能源管理系統有重大異動或作業環境改變時。</w:t>
      </w:r>
    </w:p>
    <w:p>
      <w:pPr>
        <w:keepNext w:val="false"/>
        <w:spacing w:after="0" w:before="0" w:line="240"/>
        <w:ind w:left="1200" w:hanging="240"/>
      </w:pPr>
      <w:r>
        <w:rPr>
          <w:rFonts w:ascii="標楷體" w:cs="標楷體" w:eastAsia="標楷體" w:hAnsi="標楷體"/>
          <w:b w:val="false"/>
          <w:bCs w:val="false"/>
          <w:sz w:val="24"/>
          <w:szCs w:val="24"/>
        </w:rPr>
        <w:t xml:space="preserve">6.8.2.3 能源審查更新，致重大能源使用之優先順序變動時。</w:t>
      </w:r>
    </w:p>
    <w:p>
      <w:pPr>
        <w:keepNext w:val="false"/>
        <w:spacing w:after="0" w:before="0" w:line="240"/>
        <w:ind w:left="1200" w:hanging="240"/>
      </w:pPr>
      <w:r>
        <w:rPr>
          <w:rFonts w:ascii="標楷體" w:cs="標楷體" w:eastAsia="標楷體" w:hAnsi="標楷體"/>
          <w:b w:val="false"/>
          <w:bCs w:val="false"/>
          <w:sz w:val="24"/>
          <w:szCs w:val="24"/>
        </w:rPr>
        <w:t xml:space="preserve">6.8.2.4 法規要求事項或其他要求事項變更時。</w:t>
      </w:r>
    </w:p>
    <w:p>
      <w:pPr>
        <w:keepNext w:val="false"/>
        <w:spacing w:after="0" w:before="0" w:line="240"/>
        <w:ind w:left="1200" w:hanging="240"/>
      </w:pPr>
      <w:r>
        <w:rPr>
          <w:rFonts w:ascii="標楷體" w:cs="標楷體" w:eastAsia="標楷體" w:hAnsi="標楷體"/>
          <w:b w:val="false"/>
          <w:bCs w:val="false"/>
          <w:sz w:val="24"/>
          <w:szCs w:val="24"/>
        </w:rPr>
        <w:t xml:space="preserve">6.8.2.5 發生能源績效重大偏差，經調查認有必要時。</w:t>
      </w:r>
    </w:p>
    <w:p>
      <w:pPr>
        <w:keepNext w:val="false"/>
        <w:spacing w:after="0" w:before="0" w:line="240"/>
        <w:ind w:left="1200" w:hanging="240"/>
      </w:pPr>
      <w:r>
        <w:rPr>
          <w:rFonts w:ascii="標楷體" w:cs="標楷體" w:eastAsia="標楷體" w:hAnsi="標楷體"/>
          <w:b w:val="false"/>
          <w:bCs w:val="false"/>
          <w:sz w:val="24"/>
          <w:szCs w:val="24"/>
        </w:rPr>
        <w:t xml:space="preserve">6.8.2.6 管理階層審查決議應予重新評估時。</w:t>
      </w:r>
    </w:p>
    <w:p>
      <w:pPr>
        <w:keepNext w:val="false"/>
        <w:spacing w:after="0" w:before="50" w:line="240"/>
        <w:ind w:left="720" w:hanging="240"/>
      </w:pPr>
      <w:r>
        <w:rPr>
          <w:rFonts w:ascii="標楷體" w:cs="標楷體" w:eastAsia="標楷體" w:hAnsi="標楷體"/>
          <w:b w:val="false"/>
          <w:bCs w:val="false"/>
          <w:sz w:val="24"/>
          <w:szCs w:val="24"/>
        </w:rPr>
        <w:t xml:space="preserve">6.9 文件化資訊之保存</w:t>
      </w:r>
    </w:p>
    <w:p>
      <w:pPr>
        <w:keepNext w:val="false"/>
        <w:spacing w:after="0" w:before="0" w:line="240"/>
        <w:ind w:left="960" w:hanging="240"/>
      </w:pPr>
      <w:r>
        <w:rPr>
          <w:rFonts w:ascii="標楷體" w:cs="標楷體" w:eastAsia="標楷體" w:hAnsi="標楷體"/>
          <w:b w:val="false"/>
          <w:bCs w:val="false"/>
          <w:sz w:val="24"/>
          <w:szCs w:val="24"/>
        </w:rPr>
        <w:t xml:space="preserve">6.9.1 SWOT 分析表、利害相關者需求與期望鑑別表及風險與機會評估表，保存年限至少三年。</w:t>
      </w:r>
    </w:p>
    <w:p>
      <w:pPr>
        <w:keepNext w:val="false"/>
        <w:spacing w:after="0" w:before="0" w:line="240"/>
        <w:ind w:left="960" w:hanging="240"/>
      </w:pPr>
      <w:r>
        <w:rPr>
          <w:rFonts w:ascii="標楷體" w:cs="標楷體" w:eastAsia="標楷體" w:hAnsi="標楷體"/>
          <w:b w:val="false"/>
          <w:bCs w:val="false"/>
          <w:sz w:val="24"/>
          <w:szCs w:val="24"/>
        </w:rPr>
        <w:t xml:space="preserve">6.9.2 電子媒體之文件化資訊，應建立資料夾並以年度識別更新，必要時設置密碼與權限管制。</w:t>
      </w:r>
    </w:p>
    <w:p>
      <w:pPr>
        <w:keepNext w:val="false"/>
        <w:spacing w:after="0" w:before="0" w:line="240"/>
        <w:ind w:left="960" w:hanging="240"/>
      </w:pPr>
      <w:r>
        <w:rPr>
          <w:rFonts w:ascii="標楷體" w:cs="標楷體" w:eastAsia="標楷體" w:hAnsi="標楷體"/>
          <w:b w:val="false"/>
          <w:bCs w:val="false"/>
          <w:sz w:val="24"/>
          <w:szCs w:val="24"/>
        </w:rPr>
        <w:t xml:space="preserve">6.9.3 前二項依 0220ATP0001 文件制定與管制作業辦法辦理管制。</w:t>
      </w:r>
    </w:p>
    <w:p>
      <w:pPr>
        <w:keepNext/>
        <w:spacing w:after="50" w:before="150" w:line="240"/>
      </w:pPr>
      <w:r>
        <w:rPr>
          <w:rFonts w:ascii="標楷體" w:cs="標楷體" w:eastAsia="標楷體" w:hAnsi="標楷體"/>
          <w:b/>
          <w:bCs/>
          <w:sz w:val="24"/>
          <w:szCs w:val="24"/>
        </w:rPr>
        <w:t xml:space="preserve">7.流 程 圖：</w:t>
      </w:r>
    </w:p>
    <w:p>
      <w:pPr>
        <w:keepNext w:val="false"/>
        <w:spacing w:after="0" w:before="50" w:line="240"/>
        <w:ind w:left="720" w:hanging="240"/>
      </w:pPr>
      <w:r>
        <w:rPr>
          <w:rFonts w:ascii="標楷體" w:cs="標楷體" w:eastAsia="標楷體" w:hAnsi="標楷體"/>
          <w:b w:val="false"/>
          <w:bCs w:val="false"/>
          <w:sz w:val="24"/>
          <w:szCs w:val="24"/>
        </w:rPr>
        <w:t xml:space="preserve">7.1 組織背景及風險管理作業流程如下圖。</w:t>
      </w:r>
    </w:p>
    <w:p>
      <w:pPr>
        <w:spacing w:after="100" w:before="100"/>
        <w:jc w:val="center"/>
      </w:pPr>
      <w:r>
        <w:drawing>
          <wp:inline distT="0" distB="0" distL="0" distR="0">
            <wp:extent cx="4333875"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33875" cy="6429375"/>
                    </a:xfrm>
                    <a:prstGeom prst="rect">
                      <a:avLst/>
                    </a:prstGeom>
                  </pic:spPr>
                </pic:pic>
              </a:graphicData>
            </a:graphic>
          </wp:inline>
        </w:drawing>
      </w:r>
    </w:p>
    <w:p>
      <w:pPr>
        <w:keepNext/>
        <w:spacing w:after="50" w:before="150" w:line="240"/>
      </w:pPr>
      <w:r>
        <w:rPr>
          <w:rFonts w:ascii="標楷體" w:cs="標楷體" w:eastAsia="標楷體" w:hAnsi="標楷體"/>
          <w:b/>
          <w:bCs/>
          <w:sz w:val="24"/>
          <w:szCs w:val="24"/>
        </w:rPr>
        <w:t xml:space="preserve">8.稽核機制：</w:t>
      </w:r>
    </w:p>
    <w:p>
      <w:pPr>
        <w:keepNext w:val="false"/>
        <w:spacing w:after="0" w:before="50" w:line="240"/>
        <w:ind w:left="720" w:hanging="240"/>
      </w:pPr>
      <w:r>
        <w:rPr>
          <w:rFonts w:ascii="標楷體" w:cs="標楷體" w:eastAsia="標楷體" w:hAnsi="標楷體"/>
          <w:b w:val="false"/>
          <w:bCs w:val="false"/>
          <w:sz w:val="24"/>
          <w:szCs w:val="24"/>
        </w:rPr>
        <w:t xml:space="preserve">8.1 權責人員：內部稽核員。</w:t>
      </w:r>
    </w:p>
    <w:p>
      <w:pPr>
        <w:keepNext w:val="false"/>
        <w:spacing w:after="0" w:before="50" w:line="240"/>
        <w:ind w:left="720" w:hanging="240"/>
      </w:pPr>
      <w:r>
        <w:rPr>
          <w:rFonts w:ascii="標楷體" w:cs="標楷體" w:eastAsia="標楷體" w:hAnsi="標楷體"/>
          <w:b w:val="false"/>
          <w:bCs w:val="false"/>
          <w:sz w:val="24"/>
          <w:szCs w:val="24"/>
        </w:rPr>
        <w:t xml:space="preserve">8.2 稽核時機：每年至少一次，並於當年度管理階層審查前完成。</w:t>
      </w:r>
    </w:p>
    <w:p>
      <w:pPr>
        <w:keepNext w:val="false"/>
        <w:spacing w:after="0" w:before="50" w:line="240"/>
        <w:ind w:left="720" w:hanging="240"/>
      </w:pPr>
      <w:r>
        <w:rPr>
          <w:rFonts w:ascii="標楷體" w:cs="標楷體" w:eastAsia="標楷體" w:hAnsi="標楷體"/>
          <w:b w:val="false"/>
          <w:bCs w:val="false"/>
          <w:sz w:val="24"/>
          <w:szCs w:val="24"/>
        </w:rPr>
        <w:t xml:space="preserve">8.3 稽核工具：SWOT 分析表、利害相關者需求與期望鑑別表、風險與機會評估表、能源管理盤查小組會議紀錄。</w:t>
      </w:r>
    </w:p>
    <w:p>
      <w:pPr>
        <w:keepNext w:val="false"/>
        <w:spacing w:after="0" w:before="50" w:line="240"/>
        <w:ind w:left="720" w:hanging="240"/>
      </w:pPr>
      <w:r>
        <w:rPr>
          <w:rFonts w:ascii="標楷體" w:cs="標楷體" w:eastAsia="標楷體" w:hAnsi="標楷體"/>
          <w:b w:val="false"/>
          <w:bCs w:val="false"/>
          <w:sz w:val="24"/>
          <w:szCs w:val="24"/>
        </w:rPr>
        <w:t xml:space="preserve">8.4 稽核重點：內外部議題是否每年檢討；利害相關者鑑別是否涵蓋主要對象；風險評估是否依本程序所定準則計算；重大風險是否均有對應措施並完成再評估；範疇與邊界是否與能源管理手冊一致。</w:t>
      </w:r>
    </w:p>
    <w:p>
      <w:pPr>
        <w:keepNext/>
        <w:spacing w:after="50" w:before="150" w:line="240"/>
      </w:pPr>
      <w:r>
        <w:rPr>
          <w:rFonts w:ascii="標楷體" w:cs="標楷體" w:eastAsia="標楷體" w:hAnsi="標楷體"/>
          <w:b/>
          <w:bCs/>
          <w:sz w:val="24"/>
          <w:szCs w:val="24"/>
        </w:rPr>
        <w:t xml:space="preserve">9.記　　錄：</w:t>
      </w:r>
    </w:p>
    <w:p>
      <w:pPr>
        <w:keepNext w:val="false"/>
        <w:spacing w:after="0" w:before="50" w:line="240"/>
        <w:ind w:left="720" w:hanging="240"/>
      </w:pPr>
      <w:r>
        <w:rPr>
          <w:rFonts w:ascii="標楷體" w:cs="標楷體" w:eastAsia="標楷體" w:hAnsi="標楷體"/>
          <w:b w:val="false"/>
          <w:bCs w:val="false"/>
          <w:sz w:val="24"/>
          <w:szCs w:val="24"/>
        </w:rPr>
        <w:t xml:space="preserve">9.1 SWOT 分析表。</w:t>
      </w:r>
    </w:p>
    <w:p>
      <w:pPr>
        <w:keepNext w:val="false"/>
        <w:spacing w:after="0" w:before="50" w:line="240"/>
        <w:ind w:left="720" w:hanging="240"/>
      </w:pPr>
      <w:r>
        <w:rPr>
          <w:rFonts w:ascii="標楷體" w:cs="標楷體" w:eastAsia="標楷體" w:hAnsi="標楷體"/>
          <w:b w:val="false"/>
          <w:bCs w:val="false"/>
          <w:sz w:val="24"/>
          <w:szCs w:val="24"/>
        </w:rPr>
        <w:t xml:space="preserve">9.2 利害相關者需求與期望鑑別表。</w:t>
      </w:r>
    </w:p>
    <w:p>
      <w:pPr>
        <w:keepNext w:val="false"/>
        <w:spacing w:after="0" w:before="50" w:line="240"/>
        <w:ind w:left="720" w:hanging="240"/>
      </w:pPr>
      <w:r>
        <w:rPr>
          <w:rFonts w:ascii="標楷體" w:cs="標楷體" w:eastAsia="標楷體" w:hAnsi="標楷體"/>
          <w:b w:val="false"/>
          <w:bCs w:val="false"/>
          <w:sz w:val="24"/>
          <w:szCs w:val="24"/>
        </w:rPr>
        <w:t xml:space="preserve">9.3 1D10ATF5006 機會與風險評估表。</w:t>
      </w:r>
    </w:p>
    <w:p>
      <w:pPr>
        <w:keepNext w:val="false"/>
        <w:spacing w:after="0" w:before="50" w:line="240"/>
        <w:ind w:left="720" w:hanging="240"/>
      </w:pPr>
      <w:r>
        <w:rPr>
          <w:rFonts w:ascii="標楷體" w:cs="標楷體" w:eastAsia="標楷體" w:hAnsi="標楷體"/>
          <w:b w:val="false"/>
          <w:bCs w:val="false"/>
          <w:sz w:val="24"/>
          <w:szCs w:val="24"/>
        </w:rPr>
        <w:t xml:space="preserve">9.4 能源管理盤查小組會議紀錄及決議追蹤表。</w:t>
      </w:r>
    </w:p>
    <w:p>
      <w:pPr>
        <w:keepNext w:val="false"/>
        <w:spacing w:after="0" w:before="50" w:line="240"/>
        <w:ind w:left="720" w:hanging="240"/>
      </w:pPr>
      <w:r>
        <w:rPr>
          <w:rFonts w:ascii="標楷體" w:cs="標楷體" w:eastAsia="標楷體" w:hAnsi="標楷體"/>
          <w:b w:val="false"/>
          <w:bCs w:val="false"/>
          <w:sz w:val="24"/>
          <w:szCs w:val="24"/>
        </w:rPr>
        <w:t xml:space="preserve">9.5 前列記錄依 ISO 50001:2018 條款 7.5 保存為文件化資訊，並依 6.9 辦理。</w:t>
      </w:r>
    </w:p>
    <w:p>
      <w:pPr>
        <w:keepNext/>
        <w:spacing w:after="50" w:before="150" w:line="240"/>
      </w:pPr>
      <w:r>
        <w:rPr>
          <w:rFonts w:ascii="標楷體" w:cs="標楷體" w:eastAsia="標楷體" w:hAnsi="標楷體"/>
          <w:b/>
          <w:bCs/>
          <w:sz w:val="24"/>
          <w:szCs w:val="24"/>
        </w:rPr>
        <w:t xml:space="preserve">10.附　　件：</w:t>
      </w:r>
    </w:p>
    <w:p>
      <w:pPr>
        <w:keepNext w:val="false"/>
        <w:spacing w:after="0" w:before="50" w:line="240"/>
        <w:ind w:left="720" w:hanging="240"/>
      </w:pPr>
      <w:r>
        <w:rPr>
          <w:rFonts w:ascii="標楷體" w:cs="標楷體" w:eastAsia="標楷體" w:hAnsi="標楷體"/>
          <w:b w:val="false"/>
          <w:bCs w:val="false"/>
          <w:sz w:val="24"/>
          <w:szCs w:val="24"/>
        </w:rPr>
        <w:t xml:space="preserve">10.1 附件一　SWOT 分析表。</w:t>
      </w:r>
    </w:p>
    <w:p>
      <w:pPr>
        <w:keepNext w:val="false"/>
        <w:spacing w:after="0" w:before="50" w:line="240"/>
        <w:ind w:left="720" w:hanging="240"/>
      </w:pPr>
      <w:r>
        <w:rPr>
          <w:rFonts w:ascii="標楷體" w:cs="標楷體" w:eastAsia="標楷體" w:hAnsi="標楷體"/>
          <w:b w:val="false"/>
          <w:bCs w:val="false"/>
          <w:sz w:val="24"/>
          <w:szCs w:val="24"/>
        </w:rPr>
        <w:t xml:space="preserve">10.2 附件二　利害相關者需求與期望鑑別表。</w:t>
      </w:r>
    </w:p>
    <w:p>
      <w:pPr>
        <w:keepNext w:val="false"/>
        <w:spacing w:after="0" w:before="50" w:line="240"/>
        <w:ind w:left="720" w:hanging="240"/>
      </w:pPr>
      <w:r>
        <w:rPr>
          <w:rFonts w:ascii="標楷體" w:cs="標楷體" w:eastAsia="標楷體" w:hAnsi="標楷體"/>
          <w:b w:val="false"/>
          <w:bCs w:val="false"/>
          <w:sz w:val="24"/>
          <w:szCs w:val="24"/>
        </w:rPr>
        <w:t xml:space="preserve">10.3 附件三　風險與機會評估表。</w:t>
      </w:r>
    </w:p>
    <w:p>
      <w:pPr>
        <w:keepNext w:val="false"/>
        <w:spacing w:after="0" w:before="50" w:line="240"/>
        <w:ind w:left="720" w:hanging="240"/>
      </w:pPr>
      <w:r>
        <w:rPr>
          <w:rFonts w:ascii="標楷體" w:cs="標楷體" w:eastAsia="標楷體" w:hAnsi="標楷體"/>
          <w:b w:val="false"/>
          <w:bCs w:val="false"/>
          <w:sz w:val="24"/>
          <w:szCs w:val="24"/>
        </w:rPr>
        <w:t xml:space="preserve">10.4 前列表單之編號，依 0220ATP0001 條款 6.2 以 19 碼表單編號管制，隨本程序發行；保存期限三年，保存單位為總務部。</w:t>
      </w:r>
    </w:p>
    <w:p>
      <w:pPr>
        <w:pageBreakBefore/>
        <w:spacing w:after="40"/>
        <w:jc w:val="center"/>
      </w:pPr>
      <w:r>
        <w:rPr>
          <w:rFonts w:ascii="標楷體" w:cs="標楷體" w:eastAsia="標楷體" w:hAnsi="標楷體"/>
          <w:b/>
          <w:bCs/>
          <w:sz w:val="28"/>
          <w:szCs w:val="28"/>
        </w:rPr>
        <w:t xml:space="preserve">附件一　SWOT 分析表</w:t>
      </w:r>
    </w:p>
    <w:p>
      <w:pPr>
        <w:spacing w:after="140"/>
        <w:jc w:val="center"/>
      </w:pPr>
      <w:r>
        <w:rPr>
          <w:rFonts w:ascii="標楷體" w:cs="標楷體" w:eastAsia="標楷體" w:hAnsi="標楷體"/>
          <w:b w:val="false"/>
          <w:bCs w:val="false"/>
          <w:sz w:val="22"/>
          <w:szCs w:val="22"/>
        </w:rPr>
        <w:t xml:space="preserve">　　　年度　　　填表日期：　　年　　月　　日</w:t>
      </w: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700"/>
        <w:gridCol w:w="4253"/>
        <w:gridCol w:w="4253"/>
      </w:tblGrid>
      <w:tr>
        <w:trPr>
          <w:tblHeader/>
        </w:trPr>
        <w:tc>
          <w:tcPr>
            <w:tcW w:type="dxa" w:w="1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SWOT</w:t>
            </w:r>
          </w:p>
        </w:tc>
        <w:tc>
          <w:tcPr>
            <w:tcW w:type="dxa" w:w="4253"/>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內部優勢（S）</w:t>
            </w:r>
          </w:p>
        </w:tc>
        <w:tc>
          <w:tcPr>
            <w:tcW w:type="dxa" w:w="4253"/>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內部弱勢（W）</w:t>
            </w:r>
          </w:p>
        </w:tc>
      </w:tr>
      <w:tr>
        <w:trPr>
          <w:trHeight w:val="1800" w:hRule="atLeast"/>
        </w:trPr>
        <w:tc>
          <w:tcPr>
            <w:tcW w:type="dxa" w:w="1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外部機會（O）</w:t>
            </w:r>
          </w:p>
        </w:tc>
        <w:tc>
          <w:tcPr>
            <w:tcW w:type="dxa" w:w="42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SO 增長型策略：</w:t>
            </w:r>
          </w:p>
        </w:tc>
        <w:tc>
          <w:tcPr>
            <w:tcW w:type="dxa" w:w="42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WO 扭轉型策略：</w:t>
            </w:r>
          </w:p>
        </w:tc>
      </w:tr>
      <w:tr>
        <w:trPr>
          <w:trHeight w:val="1800" w:hRule="atLeast"/>
        </w:trPr>
        <w:tc>
          <w:tcPr>
            <w:tcW w:type="dxa" w:w="1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外部威脅（T）</w:t>
            </w:r>
          </w:p>
        </w:tc>
        <w:tc>
          <w:tcPr>
            <w:tcW w:type="dxa" w:w="42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ST 多角經營策略：</w:t>
            </w:r>
          </w:p>
        </w:tc>
        <w:tc>
          <w:tcPr>
            <w:tcW w:type="dxa" w:w="425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WT 防禦型策略：</w:t>
            </w:r>
          </w:p>
        </w:tc>
      </w:tr>
    </w:tbl>
    <w:p>
      <w:pPr>
        <w:spacing w:before="16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3402"/>
        <w:gridCol w:w="3402"/>
        <w:gridCol w:w="3402"/>
      </w:tblGrid>
      <w:tr>
        <w:tc>
          <w:tcPr>
            <w:tcW w:type="dxa" w:w="340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核定：ISO 50001管理代表</w:t>
            </w:r>
          </w:p>
        </w:tc>
        <w:tc>
          <w:tcPr>
            <w:tcW w:type="dxa" w:w="340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審議：能源管理盤查小組</w:t>
            </w:r>
          </w:p>
        </w:tc>
        <w:tc>
          <w:tcPr>
            <w:tcW w:type="dxa" w:w="340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製表：</w:t>
            </w:r>
          </w:p>
        </w:tc>
      </w:tr>
      <w:tr>
        <w:trPr>
          <w:trHeight w:val="650" w:hRule="atLeast"/>
        </w:trPr>
        <w:tc>
          <w:tcPr>
            <w:tcW w:type="dxa" w:w="340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340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340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pageBreakBefore/>
        <w:spacing w:after="40"/>
        <w:jc w:val="center"/>
      </w:pPr>
      <w:r>
        <w:rPr>
          <w:rFonts w:ascii="標楷體" w:cs="標楷體" w:eastAsia="標楷體" w:hAnsi="標楷體"/>
          <w:b/>
          <w:bCs/>
          <w:sz w:val="28"/>
          <w:szCs w:val="28"/>
        </w:rPr>
        <w:t xml:space="preserve">附件二　利害相關者需求與期望鑑別表</w:t>
      </w:r>
    </w:p>
    <w:p>
      <w:pPr>
        <w:spacing w:after="140"/>
        <w:jc w:val="center"/>
      </w:pPr>
      <w:r>
        <w:rPr>
          <w:rFonts w:ascii="標楷體" w:cs="標楷體" w:eastAsia="標楷體" w:hAnsi="標楷體"/>
          <w:b w:val="false"/>
          <w:bCs w:val="false"/>
          <w:sz w:val="22"/>
          <w:szCs w:val="22"/>
        </w:rPr>
        <w:t xml:space="preserve">　　　年度　　　填表日期：　　年　　月　　日</w:t>
      </w: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300"/>
        <w:gridCol w:w="1800"/>
        <w:gridCol w:w="1800"/>
        <w:gridCol w:w="1300"/>
        <w:gridCol w:w="1506"/>
      </w:tblGrid>
      <w:tr>
        <w:trPr>
          <w:tblHeader/>
        </w:trPr>
        <w:tc>
          <w:tcPr>
            <w:tcW w:type="dxa" w:w="15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利害相關者</w:t>
            </w:r>
          </w:p>
        </w:tc>
        <w:tc>
          <w:tcPr>
            <w:tcW w:type="dxa" w:w="23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需求與期望</w:t>
            </w:r>
          </w:p>
        </w:tc>
        <w:tc>
          <w:tcPr>
            <w:tcW w:type="dxa" w:w="18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溝通方法</w:t>
            </w:r>
          </w:p>
        </w:tc>
        <w:tc>
          <w:tcPr>
            <w:tcW w:type="dxa" w:w="18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溝通管道／頻度</w:t>
            </w:r>
          </w:p>
        </w:tc>
        <w:tc>
          <w:tcPr>
            <w:tcW w:type="dxa" w:w="13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符合性（是／否）</w:t>
            </w:r>
          </w:p>
        </w:tc>
        <w:tc>
          <w:tcPr>
            <w:tcW w:type="dxa" w:w="15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解決方案（符合性為「否」時）</w:t>
            </w:r>
          </w:p>
        </w:tc>
      </w:tr>
      <w:tr>
        <w:trPr>
          <w:trHeight w:val="520" w:hRule="atLeast"/>
        </w:trPr>
        <w:tc>
          <w:tcPr>
            <w:tcW w:type="dxa" w:w="15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病人與家屬</w:t>
            </w:r>
          </w:p>
        </w:tc>
        <w:tc>
          <w:tcPr>
            <w:tcW w:type="dxa" w:w="2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520" w:hRule="atLeast"/>
        </w:trPr>
        <w:tc>
          <w:tcPr>
            <w:tcW w:type="dxa" w:w="15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本院同仁</w:t>
            </w:r>
          </w:p>
        </w:tc>
        <w:tc>
          <w:tcPr>
            <w:tcW w:type="dxa" w:w="2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520" w:hRule="atLeast"/>
        </w:trPr>
        <w:tc>
          <w:tcPr>
            <w:tcW w:type="dxa" w:w="15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主管機關</w:t>
            </w:r>
          </w:p>
        </w:tc>
        <w:tc>
          <w:tcPr>
            <w:tcW w:type="dxa" w:w="2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520" w:hRule="atLeast"/>
        </w:trPr>
        <w:tc>
          <w:tcPr>
            <w:tcW w:type="dxa" w:w="15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補助機關</w:t>
            </w:r>
          </w:p>
        </w:tc>
        <w:tc>
          <w:tcPr>
            <w:tcW w:type="dxa" w:w="2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520" w:hRule="atLeast"/>
        </w:trPr>
        <w:tc>
          <w:tcPr>
            <w:tcW w:type="dxa" w:w="15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供應商與承攬商</w:t>
            </w:r>
          </w:p>
        </w:tc>
        <w:tc>
          <w:tcPr>
            <w:tcW w:type="dxa" w:w="2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520" w:hRule="atLeast"/>
        </w:trPr>
        <w:tc>
          <w:tcPr>
            <w:tcW w:type="dxa" w:w="15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驗證機構</w:t>
            </w:r>
          </w:p>
        </w:tc>
        <w:tc>
          <w:tcPr>
            <w:tcW w:type="dxa" w:w="2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520" w:hRule="atLeast"/>
        </w:trPr>
        <w:tc>
          <w:tcPr>
            <w:tcW w:type="dxa" w:w="15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當地社區</w:t>
            </w:r>
          </w:p>
        </w:tc>
        <w:tc>
          <w:tcPr>
            <w:tcW w:type="dxa" w:w="2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3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before="120" w:line="240"/>
      </w:pPr>
      <w:r>
        <w:rPr>
          <w:rFonts w:ascii="標楷體" w:cs="標楷體" w:eastAsia="標楷體" w:hAnsi="標楷體"/>
          <w:b w:val="false"/>
          <w:bCs w:val="false"/>
          <w:sz w:val="20"/>
          <w:szCs w:val="20"/>
        </w:rPr>
        <w:t xml:space="preserve">填表說明：符合性說明為「否」者，應提出解決方案並納入附件三風險與機會評估。</w:t>
      </w:r>
    </w:p>
    <w:p>
      <w:pPr>
        <w:pageBreakBefore/>
        <w:spacing w:after="40"/>
        <w:jc w:val="center"/>
      </w:pPr>
      <w:r>
        <w:rPr>
          <w:rFonts w:ascii="標楷體" w:cs="標楷體" w:eastAsia="標楷體" w:hAnsi="標楷體"/>
          <w:b/>
          <w:bCs/>
          <w:sz w:val="28"/>
          <w:szCs w:val="28"/>
        </w:rPr>
        <w:t xml:space="preserve">附件三　風險與機會評估表</w:t>
      </w:r>
    </w:p>
    <w:p>
      <w:pPr>
        <w:spacing w:after="140"/>
        <w:jc w:val="center"/>
      </w:pPr>
      <w:r>
        <w:rPr>
          <w:rFonts w:ascii="標楷體" w:cs="標楷體" w:eastAsia="標楷體" w:hAnsi="標楷體"/>
          <w:b w:val="false"/>
          <w:bCs w:val="false"/>
          <w:sz w:val="22"/>
          <w:szCs w:val="22"/>
        </w:rPr>
        <w:t xml:space="preserve">評估日期：　　年　　月　　日</w:t>
      </w: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1900"/>
        <w:gridCol w:w="1500"/>
        <w:gridCol w:w="700"/>
        <w:gridCol w:w="700"/>
        <w:gridCol w:w="800"/>
        <w:gridCol w:w="1700"/>
        <w:gridCol w:w="900"/>
        <w:gridCol w:w="806"/>
      </w:tblGrid>
      <w:tr>
        <w:trPr>
          <w:tblHeader/>
        </w:trPr>
        <w:tc>
          <w:tcPr>
            <w:tcW w:type="dxa" w:w="12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來源</w:t>
            </w:r>
          </w:p>
        </w:tc>
        <w:tc>
          <w:tcPr>
            <w:tcW w:type="dxa" w:w="19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鑑別之風險／機會及其後果</w:t>
            </w:r>
          </w:p>
        </w:tc>
        <w:tc>
          <w:tcPr>
            <w:tcW w:type="dxa" w:w="15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現有管控措施</w:t>
            </w:r>
          </w:p>
        </w:tc>
        <w:tc>
          <w:tcPr>
            <w:tcW w:type="dxa" w:w="2200"/>
            <w:gridSpan w:val="3"/>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評估風險</w:t>
            </w:r>
          </w:p>
        </w:tc>
        <w:tc>
          <w:tcPr>
            <w:tcW w:type="dxa" w:w="17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降低風險之對策</w:t>
            </w:r>
          </w:p>
        </w:tc>
        <w:tc>
          <w:tcPr>
            <w:tcW w:type="dxa" w:w="9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責任者</w:t>
            </w:r>
          </w:p>
        </w:tc>
        <w:tc>
          <w:tcPr>
            <w:tcW w:type="dxa" w:w="806"/>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殘餘風險</w:t>
            </w:r>
          </w:p>
        </w:tc>
      </w:tr>
      <w:tr>
        <w:tc>
          <w:tcPr>
            <w:tcW w:type="dxa" w:w="12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9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後果</w:t>
            </w:r>
          </w:p>
        </w:tc>
        <w:tc>
          <w:tcPr>
            <w:tcW w:type="dxa" w:w="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可能性</w:t>
            </w:r>
          </w:p>
        </w:tc>
        <w:tc>
          <w:tcPr>
            <w:tcW w:type="dxa" w:w="8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風險等級</w:t>
            </w:r>
          </w:p>
        </w:tc>
        <w:tc>
          <w:tcPr>
            <w:tcW w:type="dxa" w:w="17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SWOT（弱勢 W）</w:t>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SWOT（威脅 T）</w:t>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機會（O／S）</w:t>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80" w:hRule="atLeast"/>
        </w:trPr>
        <w:tc>
          <w:tcPr>
            <w:tcW w:type="dxa" w:w="1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18"/>
                <w:szCs w:val="18"/>
              </w:rPr>
              <w:t xml:space="preserve"/>
            </w:r>
          </w:p>
        </w:tc>
        <w:tc>
          <w:tcPr>
            <w:tcW w:type="dxa" w:w="1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5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8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before="120" w:line="240"/>
      </w:pPr>
      <w:r>
        <w:rPr>
          <w:rFonts w:ascii="標楷體" w:cs="標楷體" w:eastAsia="標楷體" w:hAnsi="標楷體"/>
          <w:b/>
          <w:bCs/>
          <w:sz w:val="20"/>
          <w:szCs w:val="20"/>
        </w:rPr>
        <w:t xml:space="preserve">填表說明：</w:t>
      </w:r>
    </w:p>
    <w:p>
      <w:pPr>
        <w:spacing w:line="240"/>
        <w:ind w:left="480"/>
      </w:pPr>
      <w:r>
        <w:rPr>
          <w:rFonts w:ascii="標楷體" w:cs="標楷體" w:eastAsia="標楷體" w:hAnsi="標楷體"/>
          <w:b w:val="false"/>
          <w:bCs w:val="false"/>
          <w:sz w:val="20"/>
          <w:szCs w:val="20"/>
        </w:rPr>
        <w:t xml:space="preserve">1. 風險等級依風險值（後果等級 × 可能性等級）判定：16～25 重大風險、9～15 中等風險、1～8 低風險。</w:t>
      </w:r>
    </w:p>
    <w:p>
      <w:pPr>
        <w:spacing w:line="240"/>
        <w:ind w:left="480"/>
      </w:pPr>
      <w:r>
        <w:rPr>
          <w:rFonts w:ascii="標楷體" w:cs="標楷體" w:eastAsia="標楷體" w:hAnsi="標楷體"/>
          <w:b w:val="false"/>
          <w:bCs w:val="false"/>
          <w:sz w:val="20"/>
          <w:szCs w:val="20"/>
        </w:rPr>
        <w:t xml:space="preserve">2. 判定為重大風險者，必須填載降低風險之對策與責任者，並於措施完成後填載殘餘風險。</w:t>
      </w:r>
    </w:p>
    <w:p>
      <w:pPr>
        <w:spacing w:line="240"/>
        <w:ind w:left="480"/>
      </w:pPr>
      <w:r>
        <w:rPr>
          <w:rFonts w:ascii="標楷體" w:cs="標楷體" w:eastAsia="標楷體" w:hAnsi="標楷體"/>
          <w:b w:val="false"/>
          <w:bCs w:val="false"/>
          <w:sz w:val="20"/>
          <w:szCs w:val="20"/>
        </w:rPr>
        <w:t xml:space="preserve">3. 本表經能源管理盤查小組審議後，陳 ISO 50001管理代表核定。</w:t>
      </w:r>
    </w:p>
    <w:sectPr>
      <w:headerReference w:type="default" r:id="rId8"/>
      <w:footerReference w:type="default" r:id="rId9"/>
      <w:pgSz w:w="11906" w:h="16838" w:orient="portrait"/>
      <w:pgMar w:top="850" w:right="850" w:bottom="850" w:left="850" w:header="400"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312"/>
      </w:tabs>
    </w:pPr>
    <w:r>
      <w:rPr>
        <w:rFonts w:ascii="標楷體" w:cs="標楷體" w:eastAsia="標楷體" w:hAnsi="標楷體"/>
        <w:b w:val="false"/>
        <w:bCs w:val="false"/>
        <w:sz w:val="18"/>
        <w:szCs w:val="18"/>
      </w:rPr>
      <w:t xml:space="preserve">光田綜合醫院文件，非經許可不得以任何方式翻製或複印</w:t>
    </w:r>
    <w:r>
      <w:tab/>
    </w:r>
    <w:r>
      <w:rPr>
        <w:rFonts w:ascii="標楷體" w:cs="標楷體" w:eastAsia="標楷體" w:hAnsi="標楷體"/>
        <w:b w:val="false"/>
        <w:bCs w:val="false"/>
        <w:sz w:val="20"/>
        <w:szCs w:val="20"/>
      </w:rPr>
      <w:t xml:space="preserve">文件發行章：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300"/>
      <w:gridCol w:w="4506"/>
      <w:gridCol w:w="1400"/>
      <w:gridCol w:w="3000"/>
    </w:tblGrid>
    <w:tr>
      <w:tc>
        <w:tcPr>
          <w:tcW w:type="dxa" w:w="13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文件名稱</w:t>
          </w:r>
        </w:p>
      </w:tc>
      <w:tc>
        <w:tcPr>
          <w:tcW w:type="dxa" w:w="4506"/>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組織背景及風險管理程序</w:t>
          </w:r>
        </w:p>
      </w:tc>
      <w:tc>
        <w:tcPr>
          <w:tcW w:type="dxa" w:w="14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文件編號</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1D10ATP0059-(01)</w:t>
          </w:r>
        </w:p>
      </w:tc>
    </w:tr>
    <w:tr>
      <w:tc>
        <w:tcPr>
          <w:tcW w:type="dxa" w:w="13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文件類別</w:t>
          </w:r>
        </w:p>
      </w:tc>
      <w:tc>
        <w:tcPr>
          <w:tcW w:type="dxa" w:w="4506"/>
          <w:vMerge w:val="restart"/>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作　業　程　序　書</w:t>
          </w:r>
        </w:p>
      </w:tc>
      <w:tc>
        <w:tcPr>
          <w:tcW w:type="dxa" w:w="14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頁　　次</w:t>
          </w:r>
        </w:p>
      </w:tc>
      <w:tc>
        <w:tcPr>
          <w:tcW w:type="dxa" w:w="3000"/>
          <w:tcMar>
            <w:top w:type="dxa" w:w="50"/>
            <w:left w:type="dxa" w:w="80"/>
            <w:bottom w:type="dxa" w:w="50"/>
            <w:right w:type="dxa" w:w="80"/>
          </w:tcMar>
          <w:vAlign w:val="center"/>
        </w:tcPr>
        <w:p>
          <w:pPr>
            <w:jc w:val="center"/>
          </w:pPr>
          <w:r>
            <w:rPr>
              <w:rFonts w:ascii="標楷體" w:cs="標楷體" w:eastAsia="標楷體" w:hAnsi="標楷體"/>
              <w:sz w:val="20"/>
              <w:szCs w:val="20"/>
            </w:rPr>
            <w:t xml:space="preserve">第 </w:t>
            <w:fldChar w:fldCharType="begin"/>
            <w:instrText xml:space="preserve">PAGE</w:instrText>
            <w:fldChar w:fldCharType="separate"/>
            <w:fldChar w:fldCharType="end"/>
            <w:t xml:space="preserve"> 頁、共 9 頁</w:t>
          </w:r>
        </w:p>
      </w:tc>
    </w:tr>
    <w:tr>
      <w:tc>
        <w:tcPr>
          <w:tcW w:type="dxa" w:w="13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4506"/>
          <w:vMerge w:val="continue"/>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4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所屬單位</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總務部</w:t>
          </w:r>
        </w:p>
      </w:tc>
    </w:tr>
  </w:tbl>
  <w:p>
    <w:pPr>
      <w:spacing w:after="0" w:lin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e8f6918e6803fd512c8b9a151829a1c0fa5dbcf.jpg"/><Relationship Id="rId11" Type="http://schemas.openxmlformats.org/officeDocument/2006/relationships/image" Target="media/a605d8226ba59ea368460ddf6e7b63deeb95256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2026-08-07T17:37:06.410Z</dcterms:created>
  <dcterms:modified xsi:type="dcterms:W3CDTF">2026-08-07T17:37:06.411Z</dcterms:modified>
</cp:coreProperties>
</file>

<file path=docProps/custom.xml><?xml version="1.0" encoding="utf-8"?>
<Properties xmlns="http://schemas.openxmlformats.org/officeDocument/2006/custom-properties" xmlns:vt="http://schemas.openxmlformats.org/officeDocument/2006/docPropsVTypes"/>
</file>