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1428750" cy="29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標楷體" w:cs="標楷體" w:eastAsia="標楷體" w:hAnsi="標楷體"/>
          <w:b w:val="false"/>
          <w:bCs w:val="false"/>
          <w:sz w:val="20"/>
          <w:szCs w:val="20"/>
        </w:rPr>
        <w:t xml:space="preserve">光田醫療社團法人光田綜合醫院　ISO 50001 能源管理系統</w:t>
      </w:r>
    </w:p>
    <w:p>
      <w:pPr>
        <w:spacing w:after="100"/>
        <w:jc w:val="center"/>
      </w:pPr>
      <w:r>
        <w:rPr>
          <w:rFonts w:ascii="標楷體" w:cs="標楷體" w:eastAsia="標楷體" w:hAnsi="標楷體"/>
          <w:b/>
          <w:bCs/>
          <w:sz w:val="32"/>
          <w:szCs w:val="32"/>
        </w:rPr>
        <w:t xml:space="preserve">內部稽核查檢表</w:t>
      </w: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500"/>
        <w:gridCol w:w="3103"/>
        <w:gridCol w:w="1200"/>
        <w:gridCol w:w="1500"/>
        <w:gridCol w:w="900"/>
        <w:gridCol w:w="2003"/>
      </w:tblGrid>
      <w:tr>
        <w:tc>
          <w:tcPr>
            <w:tcW w:type="dxa" w:w="15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表單編號</w:t>
            </w:r>
          </w:p>
        </w:tc>
        <w:tc>
          <w:tcPr>
            <w:tcW w:type="dxa" w:w="31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1D10ATF5008-(01)</w:t>
            </w:r>
          </w:p>
        </w:tc>
        <w:tc>
          <w:tcPr>
            <w:tcW w:type="dxa" w:w="12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版　次</w:t>
            </w:r>
          </w:p>
        </w:tc>
        <w:tc>
          <w:tcPr>
            <w:tcW w:type="dxa" w:w="15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第一版</w:t>
            </w:r>
          </w:p>
        </w:tc>
        <w:tc>
          <w:tcPr>
            <w:tcW w:type="dxa" w:w="9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階層</w:t>
            </w:r>
          </w:p>
        </w:tc>
        <w:tc>
          <w:tcPr>
            <w:tcW w:type="dxa" w:w="20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第四階（部科室管制）</w:t>
            </w:r>
          </w:p>
        </w:tc>
      </w:tr>
      <w:tr>
        <w:tc>
          <w:tcPr>
            <w:tcW w:type="dxa" w:w="15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所屬文件</w:t>
            </w:r>
          </w:p>
        </w:tc>
        <w:tc>
          <w:tcPr>
            <w:tcW w:type="dxa" w:w="31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1D10ATQ0001 能源管理手冊</w:t>
            </w:r>
          </w:p>
        </w:tc>
        <w:tc>
          <w:tcPr>
            <w:tcW w:type="dxa" w:w="12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制定單位</w:t>
            </w:r>
          </w:p>
        </w:tc>
        <w:tc>
          <w:tcPr>
            <w:tcW w:type="dxa" w:w="15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總務部</w:t>
            </w:r>
          </w:p>
        </w:tc>
        <w:tc>
          <w:tcPr>
            <w:tcW w:type="dxa" w:w="9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保存</w:t>
            </w:r>
          </w:p>
        </w:tc>
        <w:tc>
          <w:tcPr>
            <w:tcW w:type="dxa" w:w="20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三年</w:t>
            </w:r>
          </w:p>
        </w:tc>
      </w:tr>
    </w:tbl>
    <w:p>
      <w:pPr>
        <w:spacing w:after="18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1600"/>
        <w:gridCol w:w="3706"/>
      </w:tblGrid>
      <w:tr>
        <w:tc>
          <w:tcPr>
            <w:tcW w:type="dxa" w:w="16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受稽單位</w:t>
            </w:r>
          </w:p>
        </w:tc>
        <w:tc>
          <w:tcPr>
            <w:tcW w:type="dxa" w:w="3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稽核日期</w:t>
            </w:r>
          </w:p>
        </w:tc>
        <w:tc>
          <w:tcPr>
            <w:tcW w:type="dxa" w:w="37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　　　年　　月　　日</w:t>
            </w:r>
          </w:p>
        </w:tc>
      </w:tr>
      <w:tr>
        <w:tc>
          <w:tcPr>
            <w:tcW w:type="dxa" w:w="16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稽　核　員</w:t>
            </w:r>
          </w:p>
        </w:tc>
        <w:tc>
          <w:tcPr>
            <w:tcW w:type="dxa" w:w="3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陪同人員</w:t>
            </w:r>
          </w:p>
        </w:tc>
        <w:tc>
          <w:tcPr>
            <w:tcW w:type="dxa" w:w="37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3200"/>
        <w:gridCol w:w="900"/>
        <w:gridCol w:w="900"/>
        <w:gridCol w:w="900"/>
        <w:gridCol w:w="2306"/>
      </w:tblGrid>
      <w:tr>
        <w:trPr>
          <w:tblHeader/>
        </w:trPr>
        <w:tc>
          <w:tcPr>
            <w:tcW w:type="dxa" w:w="700"/>
            <w:vMerge w:val="restart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項次</w:t>
            </w:r>
          </w:p>
        </w:tc>
        <w:tc>
          <w:tcPr>
            <w:tcW w:type="dxa" w:w="1300"/>
            <w:vMerge w:val="restart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條款</w:t>
            </w:r>
          </w:p>
        </w:tc>
        <w:tc>
          <w:tcPr>
            <w:tcW w:type="dxa" w:w="3200"/>
            <w:vMerge w:val="restart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查檢項目</w:t>
            </w:r>
          </w:p>
        </w:tc>
        <w:tc>
          <w:tcPr>
            <w:tcW w:type="dxa" w:w="2700"/>
            <w:gridSpan w:val="3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查檢結果</w:t>
            </w:r>
          </w:p>
        </w:tc>
        <w:tc>
          <w:tcPr>
            <w:tcW w:type="dxa" w:w="2306"/>
            <w:vMerge w:val="restart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20"/>
                <w:szCs w:val="20"/>
              </w:rPr>
              <w:t xml:space="preserve">客觀證據／發現事項</w:t>
            </w:r>
          </w:p>
        </w:tc>
      </w:tr>
      <w:tr>
        <w:tc>
          <w:tcPr>
            <w:tcW w:type="dxa" w:w="700"/>
            <w:vMerge w:val="continue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vMerge w:val="continue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vMerge w:val="continue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符合</w:t>
            </w:r>
          </w:p>
        </w:tc>
        <w:tc>
          <w:tcPr>
            <w:tcW w:type="dxa" w:w="9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觀察</w:t>
            </w:r>
          </w:p>
        </w:tc>
        <w:tc>
          <w:tcPr>
            <w:tcW w:type="dxa" w:w="900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/>
                <w:bCs/>
                <w:sz w:val="18"/>
                <w:szCs w:val="18"/>
              </w:rPr>
              <w:t xml:space="preserve">不符合</w:t>
            </w:r>
          </w:p>
        </w:tc>
        <w:tc>
          <w:tcPr>
            <w:tcW w:type="dxa" w:w="2306"/>
            <w:vMerge w:val="continue"/>
            <w:shd w:fill="E8E8E8" w:color="auto" w:val="clear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4.1～4.3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內外部議題、利害相關者、範疇與邊界是否每年檢討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5.1～5.2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能源政策是否經總院長核准、溝通並可取得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能源管理盤查小組編制與職責是否明確且成員名冊為最新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風險與機會是否完成評估並有對應措施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能源目標與能源標的是否可量測且有行動計畫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能源審查是否依規定頻率辦理及更新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6.4～6.5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能源績效指標與能源基準是否建立、維護並可追溯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6.6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能源資料蒐集規劃是否落實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7.1～7.4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資源、適任性、認知及溝通是否符合規定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文件化資訊之版本管制是否有效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8.1～8.3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運作管制、設計及採購是否納入能源績效考量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9.1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監督量測是否依規劃執行；量測設備是否於校正效期內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9.1.2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守規性評估是否逐條完成並有佐證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前次內部稽核之不符合事項是否結案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管理階層審查是否依規定辦理且決議已落實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10.1</w:t>
            </w:r>
          </w:p>
        </w:tc>
        <w:tc>
          <w:tcPr>
            <w:tcW w:type="dxa" w:w="32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18"/>
                <w:szCs w:val="18"/>
              </w:rPr>
              <w:t xml:space="preserve">不符合事項與矯正措施是否完成有效性審查</w:t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40" w:line="240"/>
      </w:pPr>
      <w:r>
        <w:rPr>
          <w:rFonts w:ascii="標楷體" w:cs="標楷體" w:eastAsia="標楷體" w:hAnsi="標楷體"/>
          <w:b/>
          <w:bCs/>
          <w:sz w:val="19"/>
          <w:szCs w:val="19"/>
        </w:rPr>
        <w:t xml:space="preserve">填表說明：</w:t>
      </w:r>
    </w:p>
    <w:p>
      <w:pPr>
        <w:spacing w:line="240"/>
        <w:ind w:left="440"/>
      </w:pPr>
      <w:r>
        <w:rPr>
          <w:rFonts w:ascii="標楷體" w:cs="標楷體" w:eastAsia="標楷體" w:hAnsi="標楷體"/>
          <w:b w:val="false"/>
          <w:bCs w:val="false"/>
          <w:sz w:val="19"/>
          <w:szCs w:val="19"/>
        </w:rPr>
        <w:t xml:space="preserve">1. 查檢項目得依當次稽核範圍增列；未涵蓋之條款應敘明理由。</w:t>
      </w:r>
    </w:p>
    <w:p>
      <w:pPr>
        <w:spacing w:line="240"/>
        <w:ind w:left="440"/>
      </w:pPr>
      <w:r>
        <w:rPr>
          <w:rFonts w:ascii="標楷體" w:cs="標楷體" w:eastAsia="標楷體" w:hAnsi="標楷體"/>
          <w:b w:val="false"/>
          <w:bCs w:val="false"/>
          <w:sz w:val="19"/>
          <w:szCs w:val="19"/>
        </w:rPr>
        <w:t xml:space="preserve">2. 評定為「不符合」者，應依 1D10ATF5009 不符合事項與矯正措施處理單辦理。</w:t>
      </w:r>
    </w:p>
    <w:p>
      <w:pPr>
        <w:spacing w:line="240"/>
        <w:ind w:left="440"/>
      </w:pPr>
      <w:r>
        <w:rPr>
          <w:rFonts w:ascii="標楷體" w:cs="標楷體" w:eastAsia="標楷體" w:hAnsi="標楷體"/>
          <w:b w:val="false"/>
          <w:bCs w:val="false"/>
          <w:sz w:val="19"/>
          <w:szCs w:val="19"/>
        </w:rPr>
        <w:t xml:space="preserve">3. 評定為「觀察」者，列入下次稽核追蹤重點。</w:t>
      </w:r>
    </w:p>
    <w:p>
      <w:pPr>
        <w:spacing w:after="180"/>
      </w:pPr>
    </w:p>
    <w:tbl>
      <w:tblPr>
        <w:tblW w:type="dxa" w:w="1020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稽核員：　　　　　　日期：</w:t>
            </w:r>
          </w:p>
        </w:tc>
        <w:tc>
          <w:tcPr>
            <w:tcW w:type="dxa" w:w="51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>受稽單位主管：　　　　　　日期：</w:t>
            </w:r>
          </w:p>
        </w:tc>
      </w:tr>
      <w:tr>
        <w:trPr>
          <w:trHeight w:val="700" w:hRule="atLeast"/>
        </w:trPr>
        <w:tc>
          <w:tcPr>
            <w:tcW w:type="dxa" w:w="51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5103"/>
            <w:tcMar>
              <w:top w:type="dxa" w:w="45"/>
              <w:left w:type="dxa" w:w="75"/>
              <w:bottom w:type="dxa" w:w="45"/>
              <w:right w:type="dxa" w:w="75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標楷體" w:cs="標楷體" w:eastAsia="標楷體" w:hAnsi="標楷體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850" w:right="850" w:bottom="850" w:left="85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標楷體" w:cs="標楷體" w:eastAsia="標楷體" w:hAnsi="標楷體"/>
        <w:b w:val="false"/>
        <w:bCs w:val="false"/>
        <w:sz w:val="16"/>
        <w:szCs w:val="16"/>
      </w:rPr>
      <w:t xml:space="preserve">光田綜合醫院文件，非經許可不得以任何方式翻製或複印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e8f6918e6803fd512c8b9a151829a1c0fa5dbcf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2026-08-07T18:16:23.029Z</dcterms:created>
  <dcterms:modified xsi:type="dcterms:W3CDTF">2026-08-07T18:16:23.029Z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