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drawing>
          <wp:inline distT="0" distB="0" distL="0" distR="0">
            <wp:extent cx="1619250" cy="333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0"/>
        <w:jc w:val="center"/>
      </w:pPr>
      <w:r>
        <w:rPr>
          <w:rFonts w:ascii="標楷體" w:cs="標楷體" w:eastAsia="標楷體" w:hAnsi="標楷體"/>
          <w:b/>
          <w:bCs/>
          <w:sz w:val="28"/>
          <w:szCs w:val="28"/>
        </w:rPr>
        <w:t xml:space="preserve">光田醫療社團法人　光田綜合醫院</w:t>
      </w:r>
    </w:p>
    <w:p>
      <w:pPr>
        <w:spacing w:after="100"/>
        <w:jc w:val="center"/>
      </w:pPr>
      <w:r>
        <w:rPr>
          <w:rFonts w:ascii="標楷體" w:cs="標楷體" w:eastAsia="標楷體" w:hAnsi="標楷體"/>
          <w:b/>
          <w:bCs/>
          <w:sz w:val="32"/>
          <w:szCs w:val="32"/>
        </w:rPr>
        <w:t xml:space="preserve">ISO 50001 能源管理系統</w:t>
      </w:r>
    </w:p>
    <w:p>
      <w:pPr>
        <w:spacing w:after="800"/>
        <w:jc w:val="center"/>
      </w:pPr>
      <w:r>
        <w:rPr>
          <w:rFonts w:ascii="標楷體" w:cs="標楷體" w:eastAsia="標楷體" w:hAnsi="標楷體"/>
          <w:b/>
          <w:bCs/>
          <w:sz w:val="44"/>
          <w:szCs w:val="44"/>
        </w:rPr>
        <w:t xml:space="preserve">文　件　清　冊</w:t>
      </w:r>
    </w:p>
    <w:tbl>
      <w:tblPr>
        <w:tblW w:type="dxa" w:w="8312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000"/>
        <w:gridCol w:w="4512"/>
        <w:gridCol w:w="1600"/>
        <w:gridCol w:w="1200"/>
      </w:tblGrid>
      <w:tr>
        <w:tc>
          <w:tcPr>
            <w:tcW w:type="dxa" w:w="1000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版次</w:t>
            </w:r>
          </w:p>
        </w:tc>
        <w:tc>
          <w:tcPr>
            <w:tcW w:type="dxa" w:w="4512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修改摘要</w:t>
            </w:r>
          </w:p>
        </w:tc>
        <w:tc>
          <w:tcPr>
            <w:tcW w:type="dxa" w:w="1600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日期</w:t>
            </w:r>
          </w:p>
        </w:tc>
        <w:tc>
          <w:tcPr>
            <w:tcW w:type="dxa" w:w="1200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備註</w:t>
            </w:r>
          </w:p>
        </w:tc>
      </w:tr>
      <w:tr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第一版</w:t>
            </w:r>
          </w:p>
        </w:tc>
        <w:tc>
          <w:tcPr>
            <w:tcW w:type="dxa" w:w="4512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新增（共 4 頁）－依衛生福利部114年綠色醫療永續規劃暨教育訓練補助計畫制定</w:t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115年05月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第二版</w:t>
            </w:r>
          </w:p>
        </w:tc>
        <w:tc>
          <w:tcPr>
            <w:tcW w:type="dxa" w:w="4512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第三版</w:t>
            </w:r>
          </w:p>
        </w:tc>
        <w:tc>
          <w:tcPr>
            <w:tcW w:type="dxa" w:w="4512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500"/>
      </w:pPr>
    </w:p>
    <w:tbl>
      <w:tblPr>
        <w:tblW w:type="dxa" w:w="8312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1200"/>
        <w:gridCol w:w="2512"/>
      </w:tblGrid>
      <w:tr>
        <w:tc>
          <w:tcPr>
            <w:tcW w:type="dxa" w:w="1200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文件類別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□品質手冊　　□作業程序書</w:t>
            </w:r>
          </w:p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□作業指導書　□組織章程　■附件表單</w:t>
            </w:r>
          </w:p>
        </w:tc>
        <w:tc>
          <w:tcPr>
            <w:tcW w:type="dxa" w:w="1200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文件編號</w:t>
            </w:r>
          </w:p>
        </w:tc>
        <w:tc>
          <w:tcPr>
            <w:tcW w:type="dxa" w:w="2512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1D10ATF5002-(01)</w:t>
            </w:r>
          </w:p>
        </w:tc>
      </w:tr>
      <w:tr>
        <w:tc>
          <w:tcPr>
            <w:tcW w:type="dxa" w:w="1200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機密等級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□機密　■內部使用　□一般</w:t>
            </w:r>
          </w:p>
        </w:tc>
        <w:tc>
          <w:tcPr>
            <w:tcW w:type="dxa" w:w="1200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制定日期</w:t>
            </w:r>
          </w:p>
        </w:tc>
        <w:tc>
          <w:tcPr>
            <w:tcW w:type="dxa" w:w="2512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115年05月</w:t>
            </w:r>
          </w:p>
        </w:tc>
      </w:tr>
      <w:tr>
        <w:tc>
          <w:tcPr>
            <w:tcW w:type="dxa" w:w="1200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部科類別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□委員會　□醫療類　□護理類</w:t>
            </w:r>
          </w:p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□醫技類　■行政類</w:t>
            </w:r>
          </w:p>
        </w:tc>
        <w:tc>
          <w:tcPr>
            <w:tcW w:type="dxa" w:w="1200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制定單位</w:t>
            </w:r>
          </w:p>
        </w:tc>
        <w:tc>
          <w:tcPr>
            <w:tcW w:type="dxa" w:w="2512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總務部</w:t>
            </w:r>
          </w:p>
        </w:tc>
      </w:tr>
      <w:tr>
        <w:tc>
          <w:tcPr>
            <w:tcW w:type="dxa" w:w="1200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管制類別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□院內管制　　■部科室管制</w:t>
            </w:r>
          </w:p>
        </w:tc>
        <w:tc>
          <w:tcPr>
            <w:tcW w:type="dxa" w:w="1200"/>
            <w:vMerge w:val="restart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適用院區</w:t>
            </w:r>
          </w:p>
        </w:tc>
        <w:tc>
          <w:tcPr>
            <w:tcW w:type="dxa" w:w="2512"/>
            <w:vMerge w:val="restart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■沙鹿　■大甲　■長青</w:t>
            </w:r>
          </w:p>
        </w:tc>
      </w:tr>
      <w:tr>
        <w:tc>
          <w:tcPr>
            <w:tcW w:type="dxa" w:w="1200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文件年限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■一年　　　　□二年</w:t>
            </w:r>
          </w:p>
        </w:tc>
        <w:tc>
          <w:tcPr>
            <w:tcW w:type="dxa" w:w="1200"/>
            <w:vMerge w:val="continue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12"/>
            <w:vMerge w:val="continue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300"/>
      </w:pPr>
    </w:p>
    <w:tbl>
      <w:tblPr>
        <w:tblW w:type="dxa" w:w="8312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800"/>
        <w:gridCol w:w="2504"/>
        <w:gridCol w:w="2504"/>
        <w:gridCol w:w="2504"/>
      </w:tblGrid>
      <w:tr>
        <w:tc>
          <w:tcPr>
            <w:tcW w:type="dxa" w:w="800"/>
            <w:vMerge w:val="restart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版　次</w:t>
            </w:r>
          </w:p>
        </w:tc>
        <w:tc>
          <w:tcPr>
            <w:tcW w:type="dxa" w:w="2504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核　准</w:t>
            </w:r>
          </w:p>
        </w:tc>
        <w:tc>
          <w:tcPr>
            <w:tcW w:type="dxa" w:w="2504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審　核</w:t>
            </w:r>
          </w:p>
        </w:tc>
        <w:tc>
          <w:tcPr>
            <w:tcW w:type="dxa" w:w="2504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2"/>
                <w:szCs w:val="22"/>
              </w:rPr>
              <w:t xml:space="preserve">制　定</w:t>
            </w:r>
          </w:p>
        </w:tc>
      </w:tr>
      <w:tr>
        <w:tc>
          <w:tcPr>
            <w:tcW w:type="dxa" w:w="800"/>
            <w:vMerge w:val="continue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4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18"/>
                <w:szCs w:val="18"/>
              </w:rPr>
              <w:t xml:space="preserve">副院長（ISO 50001 管理代表）</w:t>
            </w:r>
          </w:p>
        </w:tc>
        <w:tc>
          <w:tcPr>
            <w:tcW w:type="dxa" w:w="2504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18"/>
                <w:szCs w:val="18"/>
              </w:rPr>
              <w:t xml:space="preserve">部門主管（總務部部長）</w:t>
            </w:r>
          </w:p>
        </w:tc>
        <w:tc>
          <w:tcPr>
            <w:tcW w:type="dxa" w:w="2504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18"/>
                <w:szCs w:val="18"/>
              </w:rPr>
              <w:t xml:space="preserve">制定者（總務部）</w:t>
            </w:r>
          </w:p>
        </w:tc>
      </w:tr>
      <w:tr>
        <w:trPr>
          <w:trHeight w:val="900" w:hRule="atLeast"/>
        </w:trPr>
        <w:tc>
          <w:tcPr>
            <w:tcW w:type="dxa" w:w="8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第一版</w:t>
            </w:r>
          </w:p>
        </w:tc>
        <w:tc>
          <w:tcPr>
            <w:tcW w:type="dxa" w:w="2504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4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4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8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第二版</w:t>
            </w:r>
          </w:p>
        </w:tc>
        <w:tc>
          <w:tcPr>
            <w:tcW w:type="dxa" w:w="2504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4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4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8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2"/>
                <w:szCs w:val="22"/>
              </w:rPr>
              <w:t xml:space="preserve">第三版</w:t>
            </w:r>
          </w:p>
        </w:tc>
        <w:tc>
          <w:tcPr>
            <w:tcW w:type="dxa" w:w="2504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4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504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ectPr>
          <w:footerReference w:type="default" r:id="rId7"/>
          <w:pgSz w:w="11906" w:h="16838" w:orient="portrait"/>
          <w:pgMar w:top="1440" w:right="1797" w:bottom="1440" w:left="1797" w:header="720" w:footer="567" w:gutter="0"/>
          <w:pgNumType/>
          <w:docGrid w:linePitch="360"/>
        </w:sectPr>
      </w:pPr>
    </w:p>
    <w:p>
      <w:pPr>
        <w:keepNext/>
        <w:spacing w:after="50" w:before="140" w:line="24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1.目　　的：</w:t>
      </w:r>
    </w:p>
    <w:p>
      <w:pPr>
        <w:keepNext w:val="false"/>
        <w:spacing w:after="0" w:before="4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1.1 為統一管制本院 ISO 50001 能源管理系統之文件化資訊，明確各文件之階層、編號、版次及對應標準條款，確保文件之有效版本可供使用，特建立本清冊。</w:t>
      </w:r>
    </w:p>
    <w:p>
      <w:pPr>
        <w:keepNext w:val="false"/>
        <w:spacing w:after="0" w:before="4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1.2 本清冊依 ISO 50001:2018 條款 7.5 文件化資訊之要求建立，並依 0220ATP0001 文件制定與管制作業辦法辦理管制。</w:t>
      </w:r>
    </w:p>
    <w:p>
      <w:pPr>
        <w:keepNext/>
        <w:spacing w:after="50" w:before="140" w:line="24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2.編碼原則：</w:t>
      </w:r>
    </w:p>
    <w:p>
      <w:pPr>
        <w:keepNext w:val="false"/>
        <w:spacing w:after="0" w:before="4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2.1 沿用原則：本系統文件凡本院既有編號者，一律沿用原編號，不得自創。</w:t>
      </w:r>
    </w:p>
    <w:p>
      <w:pPr>
        <w:keepNext w:val="false"/>
        <w:spacing w:after="0" w:before="4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2.2 新編原則：原無編號之新制定文件，流水號自 5001 起編，以「50」字首識別為 ISO 50001 能源管理系統文件，便於檢索與盤點。</w:t>
      </w:r>
    </w:p>
    <w:p>
      <w:pPr>
        <w:keepNext w:val="false"/>
        <w:spacing w:after="0" w:before="4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2.3 編號結構（13 碼，依 0220ATP0001 條款 6.1）：</w:t>
      </w:r>
    </w:p>
    <w:p>
      <w:pPr>
        <w:keepNext w:val="false"/>
        <w:spacing w:after="0" w:before="0" w:line="240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2.3.1 1D10（成本中心－總務部）＋單位別 1 碼＋適用範圍 1 碼＋文件類別 1 碼＋流水號 4 碼＋版次號 2 碼。</w:t>
      </w:r>
    </w:p>
    <w:p>
      <w:pPr>
        <w:keepNext w:val="false"/>
        <w:spacing w:after="0" w:before="0" w:line="240"/>
        <w:ind w:left="96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2.3.2 文件類別代碼：品質手冊 Q、作業程序書 P、作業指導書 W、組織章程 C、附件表單 F。</w:t>
      </w:r>
    </w:p>
    <w:p>
      <w:pPr>
        <w:keepNext w:val="false"/>
        <w:spacing w:after="0" w:before="4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2.4 版次原則：制定單位為總務部且屬本系統之文件，一律重新制定為「第一版」；他單位母法沿用原版次，僅供遵循，不予修訂。</w:t>
      </w:r>
    </w:p>
    <w:p>
      <w:pPr>
        <w:keepNext/>
        <w:spacing w:after="50" w:before="140" w:line="24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3.文件清冊：</w:t>
      </w:r>
    </w:p>
    <w:tbl>
      <w:tblPr>
        <w:tblW w:type="dxa" w:w="15137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500"/>
        <w:gridCol w:w="700"/>
        <w:gridCol w:w="1850"/>
        <w:gridCol w:w="3950"/>
        <w:gridCol w:w="850"/>
        <w:gridCol w:w="1150"/>
        <w:gridCol w:w="1200"/>
        <w:gridCol w:w="2900"/>
        <w:gridCol w:w="2037"/>
      </w:tblGrid>
      <w:tr>
        <w:trPr>
          <w:tblHeader/>
        </w:trPr>
        <w:tc>
          <w:tcPr>
            <w:tcW w:type="dxa" w:w="500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18"/>
                <w:szCs w:val="18"/>
              </w:rPr>
              <w:t xml:space="preserve">序號</w:t>
            </w:r>
          </w:p>
        </w:tc>
        <w:tc>
          <w:tcPr>
            <w:tcW w:type="dxa" w:w="700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18"/>
                <w:szCs w:val="18"/>
              </w:rPr>
              <w:t xml:space="preserve">階層</w:t>
            </w:r>
          </w:p>
        </w:tc>
        <w:tc>
          <w:tcPr>
            <w:tcW w:type="dxa" w:w="1850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18"/>
                <w:szCs w:val="18"/>
              </w:rPr>
              <w:t xml:space="preserve">文件編號</w:t>
            </w:r>
          </w:p>
        </w:tc>
        <w:tc>
          <w:tcPr>
            <w:tcW w:type="dxa" w:w="3950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18"/>
                <w:szCs w:val="18"/>
              </w:rPr>
              <w:t xml:space="preserve">文件名稱</w:t>
            </w:r>
          </w:p>
        </w:tc>
        <w:tc>
          <w:tcPr>
            <w:tcW w:type="dxa" w:w="850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18"/>
                <w:szCs w:val="18"/>
              </w:rPr>
              <w:t xml:space="preserve">版次</w:t>
            </w:r>
          </w:p>
        </w:tc>
        <w:tc>
          <w:tcPr>
            <w:tcW w:type="dxa" w:w="1150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18"/>
                <w:szCs w:val="18"/>
              </w:rPr>
              <w:t xml:space="preserve">制定單位</w:t>
            </w:r>
          </w:p>
        </w:tc>
        <w:tc>
          <w:tcPr>
            <w:tcW w:type="dxa" w:w="1200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18"/>
                <w:szCs w:val="18"/>
              </w:rPr>
              <w:t xml:space="preserve">制修訂日期</w:t>
            </w:r>
          </w:p>
        </w:tc>
        <w:tc>
          <w:tcPr>
            <w:tcW w:type="dxa" w:w="2900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18"/>
                <w:szCs w:val="18"/>
              </w:rPr>
              <w:t xml:space="preserve">對應 ISO 50001:2018 條款</w:t>
            </w:r>
          </w:p>
        </w:tc>
        <w:tc>
          <w:tcPr>
            <w:tcW w:type="dxa" w:w="2037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18"/>
                <w:szCs w:val="18"/>
              </w:rPr>
              <w:t xml:space="preserve">備註</w:t>
            </w:r>
          </w:p>
        </w:tc>
      </w:tr>
      <w:tr>
        <w:tc>
          <w:tcPr>
            <w:tcW w:type="dxa" w:w="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一階</w:t>
            </w:r>
          </w:p>
        </w:tc>
        <w:tc>
          <w:tcPr>
            <w:tcW w:type="dxa" w:w="1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1D10ATQ0001</w:t>
            </w:r>
          </w:p>
        </w:tc>
        <w:tc>
          <w:tcPr>
            <w:tcW w:type="dxa" w:w="39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能源管理手冊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第一版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總務部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115/3/6</w:t>
            </w:r>
          </w:p>
        </w:tc>
        <w:tc>
          <w:tcPr>
            <w:tcW w:type="dxa" w:w="29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4.4、5.1、5.2、7.1、7.3、7.4、10.2</w:t>
            </w:r>
          </w:p>
        </w:tc>
        <w:tc>
          <w:tcPr>
            <w:tcW w:type="dxa" w:w="2037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重新制定</w:t>
            </w:r>
          </w:p>
        </w:tc>
      </w:tr>
      <w:tr>
        <w:tc>
          <w:tcPr>
            <w:tcW w:type="dxa" w:w="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一階</w:t>
            </w:r>
          </w:p>
        </w:tc>
        <w:tc>
          <w:tcPr>
            <w:tcW w:type="dxa" w:w="1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1D10CTC5001</w:t>
            </w:r>
          </w:p>
        </w:tc>
        <w:tc>
          <w:tcPr>
            <w:tcW w:type="dxa" w:w="39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能源管理盤查小組組織章程暨職責說明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第一版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總務部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115/3/27</w:t>
            </w:r>
          </w:p>
        </w:tc>
        <w:tc>
          <w:tcPr>
            <w:tcW w:type="dxa" w:w="29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5.3</w:t>
            </w:r>
          </w:p>
        </w:tc>
        <w:tc>
          <w:tcPr>
            <w:tcW w:type="dxa" w:w="2037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新增</w:t>
            </w:r>
          </w:p>
        </w:tc>
      </w:tr>
      <w:tr>
        <w:tc>
          <w:tcPr>
            <w:tcW w:type="dxa" w:w="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二階</w:t>
            </w:r>
          </w:p>
        </w:tc>
        <w:tc>
          <w:tcPr>
            <w:tcW w:type="dxa" w:w="1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1D10ATP0059</w:t>
            </w:r>
          </w:p>
        </w:tc>
        <w:tc>
          <w:tcPr>
            <w:tcW w:type="dxa" w:w="39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組織背景及風險管理程序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第一版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總務部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115/3/9</w:t>
            </w:r>
          </w:p>
        </w:tc>
        <w:tc>
          <w:tcPr>
            <w:tcW w:type="dxa" w:w="29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4.1、4.2、4.3、6.1</w:t>
            </w:r>
          </w:p>
        </w:tc>
        <w:tc>
          <w:tcPr>
            <w:tcW w:type="dxa" w:w="2037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重新制定</w:t>
            </w:r>
          </w:p>
        </w:tc>
      </w:tr>
      <w:tr>
        <w:tc>
          <w:tcPr>
            <w:tcW w:type="dxa" w:w="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二階</w:t>
            </w:r>
          </w:p>
        </w:tc>
        <w:tc>
          <w:tcPr>
            <w:tcW w:type="dxa" w:w="1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1D10ATP0066</w:t>
            </w:r>
          </w:p>
        </w:tc>
        <w:tc>
          <w:tcPr>
            <w:tcW w:type="dxa" w:w="39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能源管理目標與方案管理程序書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第一版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總務部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115/3/9</w:t>
            </w:r>
          </w:p>
        </w:tc>
        <w:tc>
          <w:tcPr>
            <w:tcW w:type="dxa" w:w="29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6.2</w:t>
            </w:r>
          </w:p>
        </w:tc>
        <w:tc>
          <w:tcPr>
            <w:tcW w:type="dxa" w:w="2037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重新制定</w:t>
            </w:r>
          </w:p>
        </w:tc>
      </w:tr>
      <w:tr>
        <w:tc>
          <w:tcPr>
            <w:tcW w:type="dxa" w:w="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二階</w:t>
            </w:r>
          </w:p>
        </w:tc>
        <w:tc>
          <w:tcPr>
            <w:tcW w:type="dxa" w:w="1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1D10ATP0048</w:t>
            </w:r>
          </w:p>
        </w:tc>
        <w:tc>
          <w:tcPr>
            <w:tcW w:type="dxa" w:w="39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能源審查程序書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第一版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總務部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115/3/9</w:t>
            </w:r>
          </w:p>
        </w:tc>
        <w:tc>
          <w:tcPr>
            <w:tcW w:type="dxa" w:w="29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6.3、6.4、6.5</w:t>
            </w:r>
          </w:p>
        </w:tc>
        <w:tc>
          <w:tcPr>
            <w:tcW w:type="dxa" w:w="2037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重新制定</w:t>
            </w:r>
          </w:p>
        </w:tc>
      </w:tr>
      <w:tr>
        <w:tc>
          <w:tcPr>
            <w:tcW w:type="dxa" w:w="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二階</w:t>
            </w:r>
          </w:p>
        </w:tc>
        <w:tc>
          <w:tcPr>
            <w:tcW w:type="dxa" w:w="1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1D10ATP0046</w:t>
            </w:r>
          </w:p>
        </w:tc>
        <w:tc>
          <w:tcPr>
            <w:tcW w:type="dxa" w:w="39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能源系統監督與量測管理程序書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第一版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總務部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115/3/9</w:t>
            </w:r>
          </w:p>
        </w:tc>
        <w:tc>
          <w:tcPr>
            <w:tcW w:type="dxa" w:w="29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6.6、9.1.1</w:t>
            </w:r>
          </w:p>
        </w:tc>
        <w:tc>
          <w:tcPr>
            <w:tcW w:type="dxa" w:w="2037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重新制定</w:t>
            </w:r>
          </w:p>
        </w:tc>
      </w:tr>
      <w:tr>
        <w:tc>
          <w:tcPr>
            <w:tcW w:type="dxa" w:w="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二階</w:t>
            </w:r>
          </w:p>
        </w:tc>
        <w:tc>
          <w:tcPr>
            <w:tcW w:type="dxa" w:w="1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1D10ATP0051</w:t>
            </w:r>
          </w:p>
        </w:tc>
        <w:tc>
          <w:tcPr>
            <w:tcW w:type="dxa" w:w="39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能源法規鑑別與符合性查核程序書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第一版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總務部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115/3/9</w:t>
            </w:r>
          </w:p>
        </w:tc>
        <w:tc>
          <w:tcPr>
            <w:tcW w:type="dxa" w:w="29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9.1.2</w:t>
            </w:r>
          </w:p>
        </w:tc>
        <w:tc>
          <w:tcPr>
            <w:tcW w:type="dxa" w:w="2037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重新制定</w:t>
            </w:r>
          </w:p>
        </w:tc>
      </w:tr>
      <w:tr>
        <w:tc>
          <w:tcPr>
            <w:tcW w:type="dxa" w:w="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二階</w:t>
            </w:r>
          </w:p>
        </w:tc>
        <w:tc>
          <w:tcPr>
            <w:tcW w:type="dxa" w:w="1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1D10ATP0050</w:t>
            </w:r>
          </w:p>
        </w:tc>
        <w:tc>
          <w:tcPr>
            <w:tcW w:type="dxa" w:w="39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能源系統變更管理程序書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第一版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總務部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115/3/9</w:t>
            </w:r>
          </w:p>
        </w:tc>
        <w:tc>
          <w:tcPr>
            <w:tcW w:type="dxa" w:w="29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8.1、8.2</w:t>
            </w:r>
          </w:p>
        </w:tc>
        <w:tc>
          <w:tcPr>
            <w:tcW w:type="dxa" w:w="2037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重新制定</w:t>
            </w:r>
          </w:p>
        </w:tc>
      </w:tr>
      <w:tr>
        <w:tc>
          <w:tcPr>
            <w:tcW w:type="dxa" w:w="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二階</w:t>
            </w:r>
          </w:p>
        </w:tc>
        <w:tc>
          <w:tcPr>
            <w:tcW w:type="dxa" w:w="1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1D10ATP0030</w:t>
            </w:r>
          </w:p>
        </w:tc>
        <w:tc>
          <w:tcPr>
            <w:tcW w:type="dxa" w:w="39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電力設備管理辦法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第一版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總務部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115/3/20</w:t>
            </w:r>
          </w:p>
        </w:tc>
        <w:tc>
          <w:tcPr>
            <w:tcW w:type="dxa" w:w="29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8.1</w:t>
            </w:r>
          </w:p>
        </w:tc>
        <w:tc>
          <w:tcPr>
            <w:tcW w:type="dxa" w:w="2037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重新制定（設備類）</w:t>
            </w:r>
          </w:p>
        </w:tc>
      </w:tr>
      <w:tr>
        <w:tc>
          <w:tcPr>
            <w:tcW w:type="dxa" w:w="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二階</w:t>
            </w:r>
          </w:p>
        </w:tc>
        <w:tc>
          <w:tcPr>
            <w:tcW w:type="dxa" w:w="1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1D10ATP0031</w:t>
            </w:r>
          </w:p>
        </w:tc>
        <w:tc>
          <w:tcPr>
            <w:tcW w:type="dxa" w:w="39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廢水處理設施操作維護管理辦法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第一版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總務部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115/3/20</w:t>
            </w:r>
          </w:p>
        </w:tc>
        <w:tc>
          <w:tcPr>
            <w:tcW w:type="dxa" w:w="29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8.1</w:t>
            </w:r>
          </w:p>
        </w:tc>
        <w:tc>
          <w:tcPr>
            <w:tcW w:type="dxa" w:w="2037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重新制定（設備類）</w:t>
            </w:r>
          </w:p>
        </w:tc>
      </w:tr>
      <w:tr>
        <w:tc>
          <w:tcPr>
            <w:tcW w:type="dxa" w:w="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二階</w:t>
            </w:r>
          </w:p>
        </w:tc>
        <w:tc>
          <w:tcPr>
            <w:tcW w:type="dxa" w:w="1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1D10ATP0037</w:t>
            </w:r>
          </w:p>
        </w:tc>
        <w:tc>
          <w:tcPr>
            <w:tcW w:type="dxa" w:w="39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空調送風機檢查與保養辦法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第一版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總務部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115/3/23</w:t>
            </w:r>
          </w:p>
        </w:tc>
        <w:tc>
          <w:tcPr>
            <w:tcW w:type="dxa" w:w="29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8.1</w:t>
            </w:r>
          </w:p>
        </w:tc>
        <w:tc>
          <w:tcPr>
            <w:tcW w:type="dxa" w:w="2037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重新制定（設備類）</w:t>
            </w:r>
          </w:p>
        </w:tc>
      </w:tr>
      <w:tr>
        <w:tc>
          <w:tcPr>
            <w:tcW w:type="dxa" w:w="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二階</w:t>
            </w:r>
          </w:p>
        </w:tc>
        <w:tc>
          <w:tcPr>
            <w:tcW w:type="dxa" w:w="1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1D10ATP0039</w:t>
            </w:r>
          </w:p>
        </w:tc>
        <w:tc>
          <w:tcPr>
            <w:tcW w:type="dxa" w:w="39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照度標準作業流程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第一版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總務部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115/3/23</w:t>
            </w:r>
          </w:p>
        </w:tc>
        <w:tc>
          <w:tcPr>
            <w:tcW w:type="dxa" w:w="29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8.1</w:t>
            </w:r>
          </w:p>
        </w:tc>
        <w:tc>
          <w:tcPr>
            <w:tcW w:type="dxa" w:w="2037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重新制定（設備類）</w:t>
            </w:r>
          </w:p>
        </w:tc>
      </w:tr>
      <w:tr>
        <w:tc>
          <w:tcPr>
            <w:tcW w:type="dxa" w:w="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三階</w:t>
            </w:r>
          </w:p>
        </w:tc>
        <w:tc>
          <w:tcPr>
            <w:tcW w:type="dxa" w:w="1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－</w:t>
            </w:r>
          </w:p>
        </w:tc>
        <w:tc>
          <w:tcPr>
            <w:tcW w:type="dxa" w:w="39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總務部 ISO 50001 文件制修訂規則（文件製作規格書）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第一版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總務部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115/3/16</w:t>
            </w:r>
          </w:p>
        </w:tc>
        <w:tc>
          <w:tcPr>
            <w:tcW w:type="dxa" w:w="29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7.5</w:t>
            </w:r>
          </w:p>
        </w:tc>
        <w:tc>
          <w:tcPr>
            <w:tcW w:type="dxa" w:w="2037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新增；內部參考，不發行、不編號</w:t>
            </w:r>
          </w:p>
        </w:tc>
      </w:tr>
      <w:tr>
        <w:tc>
          <w:tcPr>
            <w:tcW w:type="dxa" w:w="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四階</w:t>
            </w:r>
          </w:p>
        </w:tc>
        <w:tc>
          <w:tcPr>
            <w:tcW w:type="dxa" w:w="1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1D10ATF5002</w:t>
            </w:r>
          </w:p>
        </w:tc>
        <w:tc>
          <w:tcPr>
            <w:tcW w:type="dxa" w:w="39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能源管理系統文件清冊（本文件）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第一版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總務部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115/5/1</w:t>
            </w:r>
          </w:p>
        </w:tc>
        <w:tc>
          <w:tcPr>
            <w:tcW w:type="dxa" w:w="29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7.5</w:t>
            </w:r>
          </w:p>
        </w:tc>
        <w:tc>
          <w:tcPr>
            <w:tcW w:type="dxa" w:w="2037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新增</w:t>
            </w:r>
          </w:p>
        </w:tc>
      </w:tr>
      <w:tr>
        <w:tc>
          <w:tcPr>
            <w:tcW w:type="dxa" w:w="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四階</w:t>
            </w:r>
          </w:p>
        </w:tc>
        <w:tc>
          <w:tcPr>
            <w:tcW w:type="dxa" w:w="1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1D10ATF5003</w:t>
            </w:r>
          </w:p>
        </w:tc>
        <w:tc>
          <w:tcPr>
            <w:tcW w:type="dxa" w:w="39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能源基準(能源基線EnB)報告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第一版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總務部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115/4/3</w:t>
            </w:r>
          </w:p>
        </w:tc>
        <w:tc>
          <w:tcPr>
            <w:tcW w:type="dxa" w:w="29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6.5</w:t>
            </w:r>
          </w:p>
        </w:tc>
        <w:tc>
          <w:tcPr>
            <w:tcW w:type="dxa" w:w="2037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新增</w:t>
            </w:r>
          </w:p>
        </w:tc>
      </w:tr>
      <w:tr>
        <w:tc>
          <w:tcPr>
            <w:tcW w:type="dxa" w:w="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四階</w:t>
            </w:r>
          </w:p>
        </w:tc>
        <w:tc>
          <w:tcPr>
            <w:tcW w:type="dxa" w:w="1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1D10ATF5004</w:t>
            </w:r>
          </w:p>
        </w:tc>
        <w:tc>
          <w:tcPr>
            <w:tcW w:type="dxa" w:w="39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能源績效指標(EnPI)報告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第一版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總務部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115/4/3</w:t>
            </w:r>
          </w:p>
        </w:tc>
        <w:tc>
          <w:tcPr>
            <w:tcW w:type="dxa" w:w="29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6.4</w:t>
            </w:r>
          </w:p>
        </w:tc>
        <w:tc>
          <w:tcPr>
            <w:tcW w:type="dxa" w:w="2037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新增</w:t>
            </w:r>
          </w:p>
        </w:tc>
      </w:tr>
      <w:tr>
        <w:tc>
          <w:tcPr>
            <w:tcW w:type="dxa" w:w="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四階</w:t>
            </w:r>
          </w:p>
        </w:tc>
        <w:tc>
          <w:tcPr>
            <w:tcW w:type="dxa" w:w="1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1D10ATF5005</w:t>
            </w:r>
          </w:p>
        </w:tc>
        <w:tc>
          <w:tcPr>
            <w:tcW w:type="dxa" w:w="39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行動方案報告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第一版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總務部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115/4/10</w:t>
            </w:r>
          </w:p>
        </w:tc>
        <w:tc>
          <w:tcPr>
            <w:tcW w:type="dxa" w:w="29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6.2</w:t>
            </w:r>
          </w:p>
        </w:tc>
        <w:tc>
          <w:tcPr>
            <w:tcW w:type="dxa" w:w="2037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新增</w:t>
            </w:r>
          </w:p>
        </w:tc>
      </w:tr>
      <w:tr>
        <w:tc>
          <w:tcPr>
            <w:tcW w:type="dxa" w:w="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四階</w:t>
            </w:r>
          </w:p>
        </w:tc>
        <w:tc>
          <w:tcPr>
            <w:tcW w:type="dxa" w:w="1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1D10ATF5006</w:t>
            </w:r>
          </w:p>
        </w:tc>
        <w:tc>
          <w:tcPr>
            <w:tcW w:type="dxa" w:w="39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機會與風險評估表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第一版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總務部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115/4/17</w:t>
            </w:r>
          </w:p>
        </w:tc>
        <w:tc>
          <w:tcPr>
            <w:tcW w:type="dxa" w:w="29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6.1</w:t>
            </w:r>
          </w:p>
        </w:tc>
        <w:tc>
          <w:tcPr>
            <w:tcW w:type="dxa" w:w="2037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新增</w:t>
            </w:r>
          </w:p>
        </w:tc>
      </w:tr>
      <w:tr>
        <w:tc>
          <w:tcPr>
            <w:tcW w:type="dxa" w:w="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四階</w:t>
            </w:r>
          </w:p>
        </w:tc>
        <w:tc>
          <w:tcPr>
            <w:tcW w:type="dxa" w:w="1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1D10ATF5007</w:t>
            </w:r>
          </w:p>
        </w:tc>
        <w:tc>
          <w:tcPr>
            <w:tcW w:type="dxa" w:w="39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內部稽核計畫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第一版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總務部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115/4/24</w:t>
            </w:r>
          </w:p>
        </w:tc>
        <w:tc>
          <w:tcPr>
            <w:tcW w:type="dxa" w:w="29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9.2</w:t>
            </w:r>
          </w:p>
        </w:tc>
        <w:tc>
          <w:tcPr>
            <w:tcW w:type="dxa" w:w="2037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新增</w:t>
            </w:r>
          </w:p>
        </w:tc>
      </w:tr>
      <w:tr>
        <w:tc>
          <w:tcPr>
            <w:tcW w:type="dxa" w:w="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四階</w:t>
            </w:r>
          </w:p>
        </w:tc>
        <w:tc>
          <w:tcPr>
            <w:tcW w:type="dxa" w:w="1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1D10ATF5008</w:t>
            </w:r>
          </w:p>
        </w:tc>
        <w:tc>
          <w:tcPr>
            <w:tcW w:type="dxa" w:w="39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內部稽核查檢表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第一版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總務部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115/4/24</w:t>
            </w:r>
          </w:p>
        </w:tc>
        <w:tc>
          <w:tcPr>
            <w:tcW w:type="dxa" w:w="29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9.2</w:t>
            </w:r>
          </w:p>
        </w:tc>
        <w:tc>
          <w:tcPr>
            <w:tcW w:type="dxa" w:w="2037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新增</w:t>
            </w:r>
          </w:p>
        </w:tc>
      </w:tr>
      <w:tr>
        <w:tc>
          <w:tcPr>
            <w:tcW w:type="dxa" w:w="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四階</w:t>
            </w:r>
          </w:p>
        </w:tc>
        <w:tc>
          <w:tcPr>
            <w:tcW w:type="dxa" w:w="1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1D10ATF5009</w:t>
            </w:r>
          </w:p>
        </w:tc>
        <w:tc>
          <w:tcPr>
            <w:tcW w:type="dxa" w:w="39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不符合事項與矯正措施處理單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第一版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總務部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115/4/24</w:t>
            </w:r>
          </w:p>
        </w:tc>
        <w:tc>
          <w:tcPr>
            <w:tcW w:type="dxa" w:w="29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10.1</w:t>
            </w:r>
          </w:p>
        </w:tc>
        <w:tc>
          <w:tcPr>
            <w:tcW w:type="dxa" w:w="2037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新增</w:t>
            </w:r>
          </w:p>
        </w:tc>
      </w:tr>
      <w:tr>
        <w:tc>
          <w:tcPr>
            <w:tcW w:type="dxa" w:w="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四階</w:t>
            </w:r>
          </w:p>
        </w:tc>
        <w:tc>
          <w:tcPr>
            <w:tcW w:type="dxa" w:w="1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1D10ATF5010</w:t>
            </w:r>
          </w:p>
        </w:tc>
        <w:tc>
          <w:tcPr>
            <w:tcW w:type="dxa" w:w="39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管理階層審查會議紀錄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第一版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總務部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115/4/24</w:t>
            </w:r>
          </w:p>
        </w:tc>
        <w:tc>
          <w:tcPr>
            <w:tcW w:type="dxa" w:w="29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9.3</w:t>
            </w:r>
          </w:p>
        </w:tc>
        <w:tc>
          <w:tcPr>
            <w:tcW w:type="dxa" w:w="2037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新增</w:t>
            </w:r>
          </w:p>
        </w:tc>
      </w:tr>
      <w:tr>
        <w:tc>
          <w:tcPr>
            <w:tcW w:type="dxa" w:w="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二階</w:t>
            </w:r>
          </w:p>
        </w:tc>
        <w:tc>
          <w:tcPr>
            <w:tcW w:type="dxa" w:w="1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0220ATP0001</w:t>
            </w:r>
          </w:p>
        </w:tc>
        <w:tc>
          <w:tcPr>
            <w:tcW w:type="dxa" w:w="39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文件制定與管制作業辦法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第11版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管理中心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－</w:t>
            </w:r>
          </w:p>
        </w:tc>
        <w:tc>
          <w:tcPr>
            <w:tcW w:type="dxa" w:w="29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7.5</w:t>
            </w:r>
          </w:p>
        </w:tc>
        <w:tc>
          <w:tcPr>
            <w:tcW w:type="dxa" w:w="2037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引用不修訂</w:t>
            </w:r>
          </w:p>
        </w:tc>
      </w:tr>
      <w:tr>
        <w:tc>
          <w:tcPr>
            <w:tcW w:type="dxa" w:w="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二階</w:t>
            </w:r>
          </w:p>
        </w:tc>
        <w:tc>
          <w:tcPr>
            <w:tcW w:type="dxa" w:w="1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0410ATP0020</w:t>
            </w:r>
          </w:p>
        </w:tc>
        <w:tc>
          <w:tcPr>
            <w:tcW w:type="dxa" w:w="39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一般設備採購作業程序書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第九版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非總務部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－</w:t>
            </w:r>
          </w:p>
        </w:tc>
        <w:tc>
          <w:tcPr>
            <w:tcW w:type="dxa" w:w="29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8.3</w:t>
            </w:r>
          </w:p>
        </w:tc>
        <w:tc>
          <w:tcPr>
            <w:tcW w:type="dxa" w:w="2037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引用不修訂</w:t>
            </w:r>
          </w:p>
        </w:tc>
      </w:tr>
      <w:tr>
        <w:tc>
          <w:tcPr>
            <w:tcW w:type="dxa" w:w="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二階</w:t>
            </w:r>
          </w:p>
        </w:tc>
        <w:tc>
          <w:tcPr>
            <w:tcW w:type="dxa" w:w="1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0210ATP0020</w:t>
            </w:r>
          </w:p>
        </w:tc>
        <w:tc>
          <w:tcPr>
            <w:tcW w:type="dxa" w:w="39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職務個人工作說明書建立作業辦法</w:t>
            </w:r>
          </w:p>
        </w:tc>
        <w:tc>
          <w:tcPr>
            <w:tcW w:type="dxa" w:w="8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第八版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非總務部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－</w:t>
            </w:r>
          </w:p>
        </w:tc>
        <w:tc>
          <w:tcPr>
            <w:tcW w:type="dxa" w:w="29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7.2</w:t>
            </w:r>
          </w:p>
        </w:tc>
        <w:tc>
          <w:tcPr>
            <w:tcW w:type="dxa" w:w="2037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引用不修訂</w:t>
            </w:r>
          </w:p>
        </w:tc>
      </w:tr>
    </w:tbl>
    <w:p>
      <w:pPr>
        <w:spacing w:before="100" w:line="240"/>
      </w:pPr>
      <w:r>
        <w:rPr>
          <w:rFonts w:ascii="標楷體" w:cs="標楷體" w:eastAsia="標楷體" w:hAnsi="標楷體"/>
          <w:b w:val="false"/>
          <w:bCs w:val="false"/>
          <w:sz w:val="20"/>
          <w:szCs w:val="20"/>
        </w:rPr>
        <w:t xml:space="preserve">統計：一階 2 份、二階 10 份（含引用不修訂 3 份）、三階 1 份、四階 9 份，合計 25 份；其中本次重新制定或新增計 22 份。</w:t>
      </w:r>
    </w:p>
    <w:p>
      <w:pPr>
        <w:keepNext/>
        <w:spacing w:after="50" w:before="140" w:line="24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4.ISO 50001:2018 條款覆蓋對照：</w:t>
      </w:r>
    </w:p>
    <w:p>
      <w:pPr>
        <w:keepNext w:val="false"/>
        <w:spacing w:after="0" w:before="4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4.1 為確保文件化資訊完整涵蓋標準要求，就標準各條款與本清冊文件之對應關係查核如下。</w:t>
      </w:r>
    </w:p>
    <w:tbl>
      <w:tblPr>
        <w:tblW w:type="dxa" w:w="15137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100"/>
        <w:gridCol w:w="3200"/>
        <w:gridCol w:w="6837"/>
        <w:gridCol w:w="4000"/>
      </w:tblGrid>
      <w:tr>
        <w:trPr>
          <w:tblHeader/>
        </w:trPr>
        <w:tc>
          <w:tcPr>
            <w:tcW w:type="dxa" w:w="1100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18"/>
                <w:szCs w:val="18"/>
              </w:rPr>
              <w:t xml:space="preserve">條款</w:t>
            </w:r>
          </w:p>
        </w:tc>
        <w:tc>
          <w:tcPr>
            <w:tcW w:type="dxa" w:w="3200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18"/>
                <w:szCs w:val="18"/>
              </w:rPr>
              <w:t xml:space="preserve">條款名稱</w:t>
            </w:r>
          </w:p>
        </w:tc>
        <w:tc>
          <w:tcPr>
            <w:tcW w:type="dxa" w:w="6837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18"/>
                <w:szCs w:val="18"/>
              </w:rPr>
              <w:t xml:space="preserve">對應文件</w:t>
            </w:r>
          </w:p>
        </w:tc>
        <w:tc>
          <w:tcPr>
            <w:tcW w:type="dxa" w:w="4000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18"/>
                <w:szCs w:val="18"/>
              </w:rPr>
              <w:t xml:space="preserve">覆蓋狀態</w:t>
            </w:r>
          </w:p>
        </w:tc>
      </w:tr>
      <w:tr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4.1</w:t>
            </w:r>
          </w:p>
        </w:tc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瞭解組織及其前後環節</w:t>
            </w:r>
          </w:p>
        </w:tc>
        <w:tc>
          <w:tcPr>
            <w:tcW w:type="dxa" w:w="6837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1D10ATP0059 組織背景及風險管理程序</w:t>
            </w:r>
          </w:p>
        </w:tc>
        <w:tc>
          <w:tcPr>
            <w:tcW w:type="dxa" w:w="4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已涵蓋</w:t>
            </w:r>
          </w:p>
        </w:tc>
      </w:tr>
      <w:tr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4.2</w:t>
            </w:r>
          </w:p>
        </w:tc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瞭解利害相關者之需求與期望</w:t>
            </w:r>
          </w:p>
        </w:tc>
        <w:tc>
          <w:tcPr>
            <w:tcW w:type="dxa" w:w="6837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1D10ATP0059 組織背景及風險管理程序</w:t>
            </w:r>
          </w:p>
        </w:tc>
        <w:tc>
          <w:tcPr>
            <w:tcW w:type="dxa" w:w="4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已涵蓋</w:t>
            </w:r>
          </w:p>
        </w:tc>
      </w:tr>
      <w:tr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4.3</w:t>
            </w:r>
          </w:p>
        </w:tc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決定能源管理系統之範疇</w:t>
            </w:r>
          </w:p>
        </w:tc>
        <w:tc>
          <w:tcPr>
            <w:tcW w:type="dxa" w:w="6837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1D10ATP0059 組織背景及風險管理程序</w:t>
            </w:r>
          </w:p>
        </w:tc>
        <w:tc>
          <w:tcPr>
            <w:tcW w:type="dxa" w:w="4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已涵蓋</w:t>
            </w:r>
          </w:p>
        </w:tc>
      </w:tr>
      <w:tr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4.4</w:t>
            </w:r>
          </w:p>
        </w:tc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能源管理系統</w:t>
            </w:r>
          </w:p>
        </w:tc>
        <w:tc>
          <w:tcPr>
            <w:tcW w:type="dxa" w:w="6837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1D10ATQ0001 能源管理手冊</w:t>
            </w:r>
          </w:p>
        </w:tc>
        <w:tc>
          <w:tcPr>
            <w:tcW w:type="dxa" w:w="4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已涵蓋</w:t>
            </w:r>
          </w:p>
        </w:tc>
      </w:tr>
      <w:tr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5.1</w:t>
            </w:r>
          </w:p>
        </w:tc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領導與承諾</w:t>
            </w:r>
          </w:p>
        </w:tc>
        <w:tc>
          <w:tcPr>
            <w:tcW w:type="dxa" w:w="6837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1D10ATQ0001 能源管理手冊</w:t>
            </w:r>
          </w:p>
        </w:tc>
        <w:tc>
          <w:tcPr>
            <w:tcW w:type="dxa" w:w="4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已涵蓋</w:t>
            </w:r>
          </w:p>
        </w:tc>
      </w:tr>
      <w:tr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5.2</w:t>
            </w:r>
          </w:p>
        </w:tc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能源政策</w:t>
            </w:r>
          </w:p>
        </w:tc>
        <w:tc>
          <w:tcPr>
            <w:tcW w:type="dxa" w:w="6837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1D10ATQ0001 能源管理手冊</w:t>
            </w:r>
          </w:p>
        </w:tc>
        <w:tc>
          <w:tcPr>
            <w:tcW w:type="dxa" w:w="4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已涵蓋</w:t>
            </w:r>
          </w:p>
        </w:tc>
      </w:tr>
      <w:tr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5.3</w:t>
            </w:r>
          </w:p>
        </w:tc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組織之角色、責任及職權</w:t>
            </w:r>
          </w:p>
        </w:tc>
        <w:tc>
          <w:tcPr>
            <w:tcW w:type="dxa" w:w="6837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1D10CTC5001 能源管理盤查小組組織章程暨職責說明</w:t>
            </w:r>
          </w:p>
        </w:tc>
        <w:tc>
          <w:tcPr>
            <w:tcW w:type="dxa" w:w="4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已涵蓋</w:t>
            </w:r>
          </w:p>
        </w:tc>
      </w:tr>
      <w:tr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6.1</w:t>
            </w:r>
          </w:p>
        </w:tc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處理風險與機會之措施</w:t>
            </w:r>
          </w:p>
        </w:tc>
        <w:tc>
          <w:tcPr>
            <w:tcW w:type="dxa" w:w="6837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1D10ATP0059 組織背景及風險管理程序／1D10ATF5006 機會與風險評估表</w:t>
            </w:r>
          </w:p>
        </w:tc>
        <w:tc>
          <w:tcPr>
            <w:tcW w:type="dxa" w:w="4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已涵蓋</w:t>
            </w:r>
          </w:p>
        </w:tc>
      </w:tr>
      <w:tr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6.2</w:t>
            </w:r>
          </w:p>
        </w:tc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目標、能源標的及其達成之規劃</w:t>
            </w:r>
          </w:p>
        </w:tc>
        <w:tc>
          <w:tcPr>
            <w:tcW w:type="dxa" w:w="6837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1D10ATP0066 能源管理目標與方案管理程序書／1D10ATF5005 行動方案報告</w:t>
            </w:r>
          </w:p>
        </w:tc>
        <w:tc>
          <w:tcPr>
            <w:tcW w:type="dxa" w:w="4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已涵蓋</w:t>
            </w:r>
          </w:p>
        </w:tc>
      </w:tr>
      <w:tr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6.3</w:t>
            </w:r>
          </w:p>
        </w:tc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能源審查</w:t>
            </w:r>
          </w:p>
        </w:tc>
        <w:tc>
          <w:tcPr>
            <w:tcW w:type="dxa" w:w="6837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1D10ATP0048 能源審查程序書</w:t>
            </w:r>
          </w:p>
        </w:tc>
        <w:tc>
          <w:tcPr>
            <w:tcW w:type="dxa" w:w="4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已涵蓋</w:t>
            </w:r>
          </w:p>
        </w:tc>
      </w:tr>
      <w:tr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6.4</w:t>
            </w:r>
          </w:p>
        </w:tc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能源績效指標</w:t>
            </w:r>
          </w:p>
        </w:tc>
        <w:tc>
          <w:tcPr>
            <w:tcW w:type="dxa" w:w="6837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1D10ATP0048 能源審查程序書／1D10ATF5004 能源績效指標報告</w:t>
            </w:r>
          </w:p>
        </w:tc>
        <w:tc>
          <w:tcPr>
            <w:tcW w:type="dxa" w:w="4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已涵蓋</w:t>
            </w:r>
          </w:p>
        </w:tc>
      </w:tr>
      <w:tr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6.5</w:t>
            </w:r>
          </w:p>
        </w:tc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能源基線</w:t>
            </w:r>
          </w:p>
        </w:tc>
        <w:tc>
          <w:tcPr>
            <w:tcW w:type="dxa" w:w="6837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1D10ATP0048 能源審查程序書／1D10ATF5003 能源基準報告</w:t>
            </w:r>
          </w:p>
        </w:tc>
        <w:tc>
          <w:tcPr>
            <w:tcW w:type="dxa" w:w="4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已涵蓋</w:t>
            </w:r>
          </w:p>
        </w:tc>
      </w:tr>
      <w:tr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6.6</w:t>
            </w:r>
          </w:p>
        </w:tc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蒐集能源資料之規劃</w:t>
            </w:r>
          </w:p>
        </w:tc>
        <w:tc>
          <w:tcPr>
            <w:tcW w:type="dxa" w:w="6837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1D10ATP0046 能源系統監督與量測管理程序書</w:t>
            </w:r>
          </w:p>
        </w:tc>
        <w:tc>
          <w:tcPr>
            <w:tcW w:type="dxa" w:w="4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已涵蓋</w:t>
            </w:r>
          </w:p>
        </w:tc>
      </w:tr>
      <w:tr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7.1</w:t>
            </w:r>
          </w:p>
        </w:tc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資源</w:t>
            </w:r>
          </w:p>
        </w:tc>
        <w:tc>
          <w:tcPr>
            <w:tcW w:type="dxa" w:w="6837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1D10ATQ0001 能源管理手冊</w:t>
            </w:r>
          </w:p>
        </w:tc>
        <w:tc>
          <w:tcPr>
            <w:tcW w:type="dxa" w:w="4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已涵蓋</w:t>
            </w:r>
          </w:p>
        </w:tc>
      </w:tr>
      <w:tr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7.2</w:t>
            </w:r>
          </w:p>
        </w:tc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適任性</w:t>
            </w:r>
          </w:p>
        </w:tc>
        <w:tc>
          <w:tcPr>
            <w:tcW w:type="dxa" w:w="6837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0210ATP0020 職務個人工作說明書建立作業辦法（引用）</w:t>
            </w:r>
          </w:p>
        </w:tc>
        <w:tc>
          <w:tcPr>
            <w:tcW w:type="dxa" w:w="4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已涵蓋</w:t>
            </w:r>
          </w:p>
        </w:tc>
      </w:tr>
      <w:tr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7.3</w:t>
            </w:r>
          </w:p>
        </w:tc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認知</w:t>
            </w:r>
          </w:p>
        </w:tc>
        <w:tc>
          <w:tcPr>
            <w:tcW w:type="dxa" w:w="6837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1D10ATQ0001 能源管理手冊</w:t>
            </w:r>
          </w:p>
        </w:tc>
        <w:tc>
          <w:tcPr>
            <w:tcW w:type="dxa" w:w="4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已涵蓋</w:t>
            </w:r>
          </w:p>
        </w:tc>
      </w:tr>
      <w:tr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7.4</w:t>
            </w:r>
          </w:p>
        </w:tc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溝通</w:t>
            </w:r>
          </w:p>
        </w:tc>
        <w:tc>
          <w:tcPr>
            <w:tcW w:type="dxa" w:w="6837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1D10ATQ0001 能源管理手冊</w:t>
            </w:r>
          </w:p>
        </w:tc>
        <w:tc>
          <w:tcPr>
            <w:tcW w:type="dxa" w:w="4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已涵蓋</w:t>
            </w:r>
          </w:p>
        </w:tc>
      </w:tr>
      <w:tr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7.5</w:t>
            </w:r>
          </w:p>
        </w:tc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文件化資訊</w:t>
            </w:r>
          </w:p>
        </w:tc>
        <w:tc>
          <w:tcPr>
            <w:tcW w:type="dxa" w:w="6837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0220ATP0001（引用）／1D10ATF5002 本清冊</w:t>
            </w:r>
          </w:p>
        </w:tc>
        <w:tc>
          <w:tcPr>
            <w:tcW w:type="dxa" w:w="4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已涵蓋</w:t>
            </w:r>
          </w:p>
        </w:tc>
      </w:tr>
      <w:tr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8.1</w:t>
            </w:r>
          </w:p>
        </w:tc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運作之規劃及管制</w:t>
            </w:r>
          </w:p>
        </w:tc>
        <w:tc>
          <w:tcPr>
            <w:tcW w:type="dxa" w:w="6837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1D10ATP0050／設備類四份程序書</w:t>
            </w:r>
          </w:p>
        </w:tc>
        <w:tc>
          <w:tcPr>
            <w:tcW w:type="dxa" w:w="4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已涵蓋</w:t>
            </w:r>
          </w:p>
        </w:tc>
      </w:tr>
      <w:tr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8.2</w:t>
            </w:r>
          </w:p>
        </w:tc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設計</w:t>
            </w:r>
          </w:p>
        </w:tc>
        <w:tc>
          <w:tcPr>
            <w:tcW w:type="dxa" w:w="6837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1D10ATP0050 能源系統變更管理程序書</w:t>
            </w:r>
          </w:p>
        </w:tc>
        <w:tc>
          <w:tcPr>
            <w:tcW w:type="dxa" w:w="4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已涵蓋</w:t>
            </w:r>
          </w:p>
        </w:tc>
      </w:tr>
      <w:tr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8.3</w:t>
            </w:r>
          </w:p>
        </w:tc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採購</w:t>
            </w:r>
          </w:p>
        </w:tc>
        <w:tc>
          <w:tcPr>
            <w:tcW w:type="dxa" w:w="6837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0410ATP0020 一般設備採購作業程序書（引用）</w:t>
            </w:r>
          </w:p>
        </w:tc>
        <w:tc>
          <w:tcPr>
            <w:tcW w:type="dxa" w:w="4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已涵蓋</w:t>
            </w:r>
          </w:p>
        </w:tc>
      </w:tr>
      <w:tr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9.1</w:t>
            </w:r>
          </w:p>
        </w:tc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監督、量測、分析及評估</w:t>
            </w:r>
          </w:p>
        </w:tc>
        <w:tc>
          <w:tcPr>
            <w:tcW w:type="dxa" w:w="6837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1D10ATP0046／1D10ATP0051（9.1.2 守規性評估）</w:t>
            </w:r>
          </w:p>
        </w:tc>
        <w:tc>
          <w:tcPr>
            <w:tcW w:type="dxa" w:w="4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已涵蓋</w:t>
            </w:r>
          </w:p>
        </w:tc>
      </w:tr>
      <w:tr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9.2</w:t>
            </w:r>
          </w:p>
        </w:tc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內部稽核</w:t>
            </w:r>
          </w:p>
        </w:tc>
        <w:tc>
          <w:tcPr>
            <w:tcW w:type="dxa" w:w="6837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1D10ATQ0001 手冊 6.6.4／1D10ATF5007 計畫表／1D10ATF5008 查檢表</w:t>
            </w:r>
          </w:p>
        </w:tc>
        <w:tc>
          <w:tcPr>
            <w:tcW w:type="dxa" w:w="4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已涵蓋</w:t>
            </w:r>
          </w:p>
        </w:tc>
      </w:tr>
      <w:tr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9.3</w:t>
            </w:r>
          </w:p>
        </w:tc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管理階層審查</w:t>
            </w:r>
          </w:p>
        </w:tc>
        <w:tc>
          <w:tcPr>
            <w:tcW w:type="dxa" w:w="6837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1D10ATQ0001 手冊 6.6.5／1D10ATF5010 會議紀錄／1D10CTC5001 章程 6.5</w:t>
            </w:r>
          </w:p>
        </w:tc>
        <w:tc>
          <w:tcPr>
            <w:tcW w:type="dxa" w:w="4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已涵蓋</w:t>
            </w:r>
          </w:p>
        </w:tc>
      </w:tr>
      <w:tr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10.1</w:t>
            </w:r>
          </w:p>
        </w:tc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不符合事項與矯正措施</w:t>
            </w:r>
          </w:p>
        </w:tc>
        <w:tc>
          <w:tcPr>
            <w:tcW w:type="dxa" w:w="6837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1D10ATQ0001 手冊 6.7.1／1D10ATF5009 處理單</w:t>
            </w:r>
          </w:p>
        </w:tc>
        <w:tc>
          <w:tcPr>
            <w:tcW w:type="dxa" w:w="4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已涵蓋</w:t>
            </w:r>
          </w:p>
        </w:tc>
      </w:tr>
      <w:tr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10.2</w:t>
            </w:r>
          </w:p>
        </w:tc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持續改進</w:t>
            </w:r>
          </w:p>
        </w:tc>
        <w:tc>
          <w:tcPr>
            <w:tcW w:type="dxa" w:w="6837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1D10ATQ0001 能源管理手冊</w:t>
            </w:r>
          </w:p>
        </w:tc>
        <w:tc>
          <w:tcPr>
            <w:tcW w:type="dxa" w:w="4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已涵蓋</w:t>
            </w:r>
          </w:p>
        </w:tc>
      </w:tr>
    </w:tbl>
    <w:p>
      <w:pPr>
        <w:keepNext/>
        <w:spacing w:after="50" w:before="140" w:line="24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5.條款文件化方式說明：</w:t>
      </w:r>
    </w:p>
    <w:p>
      <w:pPr>
        <w:keepNext w:val="false"/>
        <w:spacing w:after="0" w:before="4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5.1 ISO 50001:2018 就內部稽核（條款 9.2）、管理階層審查（條款 9.3）及不符合事項與矯正措施（條款 10.1），僅要求保存文件化資訊作為證據，未要求另訂程序書。</w:t>
      </w:r>
    </w:p>
    <w:p>
      <w:pPr>
        <w:keepNext w:val="false"/>
        <w:spacing w:after="0" w:before="4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5.2 本院爰採下列方式文件化：作業規定納入 1D10ATQ0001 能源管理手冊，紀錄以第四階表單管制，不另訂第二階程序書，以精簡文件層級並避免重複規範。</w:t>
      </w:r>
    </w:p>
    <w:tbl>
      <w:tblPr>
        <w:tblW w:type="dxa" w:w="15137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2400"/>
        <w:gridCol w:w="7537"/>
      </w:tblGrid>
      <w:tr>
        <w:trPr>
          <w:tblHeader/>
        </w:trPr>
        <w:tc>
          <w:tcPr>
            <w:tcW w:type="dxa" w:w="1600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18"/>
                <w:szCs w:val="18"/>
              </w:rPr>
              <w:t xml:space="preserve">條款</w:t>
            </w:r>
          </w:p>
        </w:tc>
        <w:tc>
          <w:tcPr>
            <w:tcW w:type="dxa" w:w="3600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18"/>
                <w:szCs w:val="18"/>
              </w:rPr>
              <w:t xml:space="preserve">作業規定所在</w:t>
            </w:r>
          </w:p>
        </w:tc>
        <w:tc>
          <w:tcPr>
            <w:tcW w:type="dxa" w:w="2400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18"/>
                <w:szCs w:val="18"/>
              </w:rPr>
              <w:t xml:space="preserve">紀錄表單</w:t>
            </w:r>
          </w:p>
        </w:tc>
        <w:tc>
          <w:tcPr>
            <w:tcW w:type="dxa" w:w="7537"/>
            <w:shd w:fill="E8E8E8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9.2 內部稽核</w:t>
            </w:r>
          </w:p>
        </w:tc>
        <w:tc>
          <w:tcPr>
            <w:tcW w:type="dxa" w:w="3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1D10ATQ0001 手冊 6.6.4</w:t>
            </w:r>
          </w:p>
        </w:tc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1D10ATF5007</w:t>
            </w:r>
          </w:p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1D10ATF5008</w:t>
            </w:r>
          </w:p>
        </w:tc>
        <w:tc>
          <w:tcPr>
            <w:tcW w:type="dxa" w:w="7537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手冊訂明稽核頻率、方案規劃、準則與範圍、稽核員遴選與公正性、執行、結果報告及後續措施</w:t>
            </w:r>
          </w:p>
        </w:tc>
      </w:tr>
      <w:tr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9.3 管理階層審查</w:t>
            </w:r>
          </w:p>
        </w:tc>
        <w:tc>
          <w:tcPr>
            <w:tcW w:type="dxa" w:w="3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1D10ATQ0001 手冊 6.6.5</w:t>
            </w:r>
          </w:p>
        </w:tc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1D10ATF5010</w:t>
            </w:r>
          </w:p>
        </w:tc>
        <w:tc>
          <w:tcPr>
            <w:tcW w:type="dxa" w:w="7537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手冊訂明頻率、主持人、出席人員、審查投入五項、能源績效投入三項及產出五項</w:t>
            </w:r>
          </w:p>
        </w:tc>
      </w:tr>
      <w:tr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10.1 不符合事項與矯正措施</w:t>
            </w:r>
          </w:p>
        </w:tc>
        <w:tc>
          <w:tcPr>
            <w:tcW w:type="dxa" w:w="3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1D10ATQ0001 手冊 6.7.1</w:t>
            </w:r>
          </w:p>
        </w:tc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1D10ATF5009</w:t>
            </w:r>
          </w:p>
        </w:tc>
        <w:tc>
          <w:tcPr>
            <w:tcW w:type="dxa" w:w="7537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line="23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手冊訂明不符合來源，及反應、評估、實施、審查、變更五步驟</w:t>
            </w:r>
          </w:p>
        </w:tc>
      </w:tr>
    </w:tbl>
    <w:p>
      <w:pPr>
        <w:keepNext w:val="false"/>
        <w:spacing w:after="0" w:before="4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5.3 前項三條款之作業規定如須修訂，應併同 1D10ATQ0001 能源管理手冊改版，由總院長簽核。</w:t>
      </w:r>
    </w:p>
    <w:p>
      <w:pPr>
        <w:keepNext/>
        <w:spacing w:after="50" w:before="140" w:line="24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6.管理規定：</w:t>
      </w:r>
    </w:p>
    <w:p>
      <w:pPr>
        <w:keepNext w:val="false"/>
        <w:spacing w:after="0" w:before="4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6.1 本清冊由總務部 ISO 50001 承辦人員維護，於文件新增、修訂或廢止時同步更新。</w:t>
      </w:r>
    </w:p>
    <w:p>
      <w:pPr>
        <w:keepNext w:val="false"/>
        <w:spacing w:after="0" w:before="4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6.2 本清冊所列文件之有效版本，以本院 EIP 規章辦法處公布者為準。</w:t>
      </w:r>
    </w:p>
    <w:p>
      <w:pPr>
        <w:keepNext w:val="false"/>
        <w:spacing w:after="0" w:before="4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6.3 各文件流水號末碼標示「XX」或本清冊所列 5001 以後之新編號，均俟文件管理單位正式核發後確認；核發後應即更新本清冊。</w:t>
      </w:r>
    </w:p>
    <w:p>
      <w:pPr>
        <w:keepNext w:val="false"/>
        <w:spacing w:after="0" w:before="4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6.4 「引用不修訂」之文件為他單位所訂母法，本系統僅遵循適用，不得逕行修改其內容或版次。</w:t>
      </w:r>
    </w:p>
    <w:p>
      <w:pPr>
        <w:keepNext w:val="false"/>
        <w:spacing w:after="0" w:before="4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6.5 本清冊為內部稽核及第三方驗證之查證資料，應依 ISO 50001:2018 條款 7.5 保存為文件化資訊。</w:t>
      </w:r>
    </w:p>
    <w:p>
      <w:pPr>
        <w:keepNext/>
        <w:spacing w:after="50" w:before="140" w:line="24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7.附　　註：</w:t>
      </w:r>
    </w:p>
    <w:p>
      <w:pPr>
        <w:keepNext w:val="false"/>
        <w:spacing w:after="0" w:before="4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7.1 本院既有 09V0CTC0001 能源管理委員會組織章程為院級委員會文件，其設立目的、組織編制、職掌及功能與本系統之能源管理盤查小組均不相同，不納入本清冊，亦不作為本系統文件之母法。</w:t>
      </w:r>
    </w:p>
    <w:p>
      <w:pPr>
        <w:keepNext w:val="false"/>
        <w:spacing w:after="0" w:before="4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7.2 四階表單除本清冊所列者外，各程序書所產生之附件表單，依 0220ATP0001 條款 6.2 以 19 碼表單編號管制，隨其母文件發行，不另列本清冊。</w:t>
      </w:r>
    </w:p>
    <w:p>
      <w:pPr>
        <w:keepNext w:val="false"/>
        <w:spacing w:after="0" w:before="40" w:line="240"/>
        <w:ind w:left="720" w:hanging="240"/>
      </w:pPr>
      <w:r>
        <w:rPr>
          <w:rFonts w:ascii="標楷體" w:cs="標楷體" w:eastAsia="標楷體" w:hAnsi="標楷體"/>
          <w:b w:val="false"/>
          <w:bCs w:val="false"/>
          <w:sz w:val="24"/>
          <w:szCs w:val="24"/>
        </w:rPr>
        <w:t xml:space="preserve">7.3 本清冊制修訂日期固定為 115 年 5 月 1 日，係俟全案文件於 115 年 4 月 6 日定案公告後彙整編製。</w:t>
      </w:r>
    </w:p>
    <w:sectPr>
      <w:headerReference w:type="default" r:id="rId8"/>
      <w:footerReference w:type="default" r:id="rId9"/>
      <w:pgSz w:w="16838" w:h="11906" w:orient="landscape"/>
      <w:pgMar w:top="850" w:right="850" w:bottom="850" w:left="850" w:header="400" w:footer="400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8312"/>
      </w:tabs>
    </w:pPr>
    <w:r>
      <w:rPr>
        <w:rFonts w:ascii="標楷體" w:cs="標楷體" w:eastAsia="標楷體" w:hAnsi="標楷體"/>
        <w:b w:val="false"/>
        <w:bCs w:val="false"/>
        <w:sz w:val="18"/>
        <w:szCs w:val="18"/>
      </w:rPr>
      <w:t xml:space="preserve">光田綜合醫院文件，非經許可不得以任何方式翻製或複印</w:t>
    </w:r>
    <w:r>
      <w:tab/>
    </w:r>
    <w:r>
      <w:rPr>
        <w:rFonts w:ascii="標楷體" w:cs="標楷體" w:eastAsia="標楷體" w:hAnsi="標楷體"/>
        <w:b w:val="false"/>
        <w:bCs w:val="false"/>
        <w:sz w:val="20"/>
        <w:szCs w:val="20"/>
      </w:rPr>
      <w:t xml:space="preserve">文件發行章：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5137"/>
      <w:tblBorders>
        <w:top w:val="single" w:color="000000" w:sz="4"/>
        <w:left w:val="single" w:color="000000" w:sz="4"/>
        <w:bottom w:val="single" w:color="000000" w:sz="4"/>
        <w:right w:val="single" w:color="000000" w:sz="4"/>
        <w:insideH w:val="single" w:color="auto" w:sz="4"/>
        <w:insideV w:val="single" w:color="auto" w:sz="4"/>
      </w:tblBorders>
    </w:tblPr>
    <w:tblGrid>
      <w:gridCol w:w="1600"/>
      <w:gridCol w:w="7537"/>
      <w:gridCol w:w="1800"/>
      <w:gridCol w:w="4200"/>
    </w:tblGrid>
    <w:tr>
      <w:tc>
        <w:tcPr>
          <w:tcW w:type="dxa" w:w="1600"/>
          <w:shd w:fill="E8E8E8" w:color="auto" w:val="clear"/>
          <w:tcMar>
            <w:top w:type="dxa" w:w="40"/>
            <w:left w:type="dxa" w:w="70"/>
            <w:bottom w:type="dxa" w:w="40"/>
            <w:right w:type="dxa" w:w="70"/>
          </w:tcMar>
          <w:vAlign w:val="center"/>
        </w:tcPr>
        <w:p>
          <w:pPr>
            <w:spacing w:line="230"/>
            <w:jc w:val="center"/>
          </w:pPr>
          <w:r>
            <w:rPr>
              <w:rFonts w:ascii="標楷體" w:cs="標楷體" w:eastAsia="標楷體" w:hAnsi="標楷體"/>
              <w:b/>
              <w:bCs/>
              <w:sz w:val="18"/>
              <w:szCs w:val="18"/>
            </w:rPr>
            <w:t xml:space="preserve">文件名稱</w:t>
          </w:r>
        </w:p>
      </w:tc>
      <w:tc>
        <w:tcPr>
          <w:tcW w:type="dxa" w:w="7537"/>
          <w:tcMar>
            <w:top w:type="dxa" w:w="40"/>
            <w:left w:type="dxa" w:w="70"/>
            <w:bottom w:type="dxa" w:w="40"/>
            <w:right w:type="dxa" w:w="70"/>
          </w:tcMar>
          <w:vAlign w:val="center"/>
        </w:tcPr>
        <w:p>
          <w:pPr>
            <w:spacing w:line="230"/>
            <w:jc w:val="center"/>
          </w:pPr>
          <w:r>
            <w:rPr>
              <w:rFonts w:ascii="標楷體" w:cs="標楷體" w:eastAsia="標楷體" w:hAnsi="標楷體"/>
              <w:b/>
              <w:bCs/>
              <w:sz w:val="18"/>
              <w:szCs w:val="18"/>
            </w:rPr>
            <w:t xml:space="preserve">能源管理系統文件清冊</w:t>
          </w:r>
        </w:p>
      </w:tc>
      <w:tc>
        <w:tcPr>
          <w:tcW w:type="dxa" w:w="1800"/>
          <w:shd w:fill="E8E8E8" w:color="auto" w:val="clear"/>
          <w:tcMar>
            <w:top w:type="dxa" w:w="40"/>
            <w:left w:type="dxa" w:w="70"/>
            <w:bottom w:type="dxa" w:w="40"/>
            <w:right w:type="dxa" w:w="70"/>
          </w:tcMar>
          <w:vAlign w:val="center"/>
        </w:tcPr>
        <w:p>
          <w:pPr>
            <w:spacing w:line="230"/>
            <w:jc w:val="center"/>
          </w:pPr>
          <w:r>
            <w:rPr>
              <w:rFonts w:ascii="標楷體" w:cs="標楷體" w:eastAsia="標楷體" w:hAnsi="標楷體"/>
              <w:b/>
              <w:bCs/>
              <w:sz w:val="18"/>
              <w:szCs w:val="18"/>
            </w:rPr>
            <w:t xml:space="preserve">文件編號</w:t>
          </w:r>
        </w:p>
      </w:tc>
      <w:tc>
        <w:tcPr>
          <w:tcW w:type="dxa" w:w="4200"/>
          <w:tcMar>
            <w:top w:type="dxa" w:w="40"/>
            <w:left w:type="dxa" w:w="70"/>
            <w:bottom w:type="dxa" w:w="40"/>
            <w:right w:type="dxa" w:w="70"/>
          </w:tcMar>
          <w:vAlign w:val="center"/>
        </w:tcPr>
        <w:p>
          <w:pPr>
            <w:spacing w:line="230"/>
            <w:jc w:val="center"/>
          </w:pPr>
          <w:r>
            <w:rPr>
              <w:rFonts w:ascii="標楷體" w:cs="標楷體" w:eastAsia="標楷體" w:hAnsi="標楷體"/>
              <w:b w:val="false"/>
              <w:bCs w:val="false"/>
              <w:sz w:val="18"/>
              <w:szCs w:val="18"/>
            </w:rPr>
            <w:t xml:space="preserve">1D10ATF5002-(01)</w:t>
          </w:r>
        </w:p>
      </w:tc>
    </w:tr>
    <w:tr>
      <w:tc>
        <w:tcPr>
          <w:tcW w:type="dxa" w:w="1600"/>
          <w:vMerge w:val="restart"/>
          <w:shd w:fill="E8E8E8" w:color="auto" w:val="clear"/>
          <w:tcMar>
            <w:top w:type="dxa" w:w="40"/>
            <w:left w:type="dxa" w:w="70"/>
            <w:bottom w:type="dxa" w:w="40"/>
            <w:right w:type="dxa" w:w="70"/>
          </w:tcMar>
          <w:vAlign w:val="center"/>
        </w:tcPr>
        <w:p>
          <w:pPr>
            <w:spacing w:line="230"/>
            <w:jc w:val="center"/>
          </w:pPr>
          <w:r>
            <w:rPr>
              <w:rFonts w:ascii="標楷體" w:cs="標楷體" w:eastAsia="標楷體" w:hAnsi="標楷體"/>
              <w:b/>
              <w:bCs/>
              <w:sz w:val="18"/>
              <w:szCs w:val="18"/>
            </w:rPr>
            <w:t xml:space="preserve">文件類別</w:t>
          </w:r>
        </w:p>
      </w:tc>
      <w:tc>
        <w:tcPr>
          <w:tcW w:type="dxa" w:w="7537"/>
          <w:vMerge w:val="restart"/>
          <w:tcMar>
            <w:top w:type="dxa" w:w="40"/>
            <w:left w:type="dxa" w:w="70"/>
            <w:bottom w:type="dxa" w:w="40"/>
            <w:right w:type="dxa" w:w="70"/>
          </w:tcMar>
          <w:vAlign w:val="center"/>
        </w:tcPr>
        <w:p>
          <w:pPr>
            <w:spacing w:line="230"/>
            <w:jc w:val="center"/>
          </w:pPr>
          <w:r>
            <w:rPr>
              <w:rFonts w:ascii="標楷體" w:cs="標楷體" w:eastAsia="標楷體" w:hAnsi="標楷體"/>
              <w:b w:val="false"/>
              <w:bCs w:val="false"/>
              <w:sz w:val="18"/>
              <w:szCs w:val="18"/>
            </w:rPr>
            <w:t xml:space="preserve">附　件　表　單</w:t>
          </w:r>
        </w:p>
      </w:tc>
      <w:tc>
        <w:tcPr>
          <w:tcW w:type="dxa" w:w="1800"/>
          <w:shd w:fill="E8E8E8" w:color="auto" w:val="clear"/>
          <w:tcMar>
            <w:top w:type="dxa" w:w="40"/>
            <w:left w:type="dxa" w:w="70"/>
            <w:bottom w:type="dxa" w:w="40"/>
            <w:right w:type="dxa" w:w="70"/>
          </w:tcMar>
          <w:vAlign w:val="center"/>
        </w:tcPr>
        <w:p>
          <w:pPr>
            <w:spacing w:line="230"/>
            <w:jc w:val="center"/>
          </w:pPr>
          <w:r>
            <w:rPr>
              <w:rFonts w:ascii="標楷體" w:cs="標楷體" w:eastAsia="標楷體" w:hAnsi="標楷體"/>
              <w:b/>
              <w:bCs/>
              <w:sz w:val="18"/>
              <w:szCs w:val="18"/>
            </w:rPr>
            <w:t xml:space="preserve">頁　　次</w:t>
          </w:r>
        </w:p>
      </w:tc>
      <w:tc>
        <w:tcPr>
          <w:tcW w:type="dxa" w:w="4200"/>
          <w:tcMar>
            <w:top w:type="dxa" w:w="40"/>
            <w:left w:type="dxa" w:w="70"/>
            <w:bottom w:type="dxa" w:w="40"/>
            <w:right w:type="dxa" w:w="70"/>
          </w:tcMar>
          <w:vAlign w:val="center"/>
        </w:tcPr>
        <w:p>
          <w:pPr>
            <w:jc w:val="center"/>
          </w:pPr>
          <w:r>
            <w:rPr>
              <w:rFonts w:ascii="標楷體" w:cs="標楷體" w:eastAsia="標楷體" w:hAnsi="標楷體"/>
              <w:sz w:val="18"/>
              <w:szCs w:val="18"/>
            </w:rPr>
            <w:t xml:space="preserve">第 </w:t>
            <w:fldChar w:fldCharType="begin"/>
            <w:instrText xml:space="preserve">PAGE</w:instrText>
            <w:fldChar w:fldCharType="separate"/>
            <w:fldChar w:fldCharType="end"/>
            <w:t xml:space="preserve"> 頁、共 4 頁</w:t>
          </w:r>
        </w:p>
      </w:tc>
    </w:tr>
    <w:tr>
      <w:tc>
        <w:tcPr>
          <w:tcW w:type="dxa" w:w="1600"/>
          <w:vMerge w:val="continue"/>
          <w:shd w:fill="E8E8E8" w:color="auto" w:val="clear"/>
          <w:tcMar>
            <w:top w:type="dxa" w:w="40"/>
            <w:left w:type="dxa" w:w="70"/>
            <w:bottom w:type="dxa" w:w="40"/>
            <w:right w:type="dxa" w:w="70"/>
          </w:tcMar>
          <w:vAlign w:val="center"/>
        </w:tcPr>
        <w:p>
          <w:pPr>
            <w:spacing w:line="230"/>
            <w:jc w:val="left"/>
          </w:pPr>
          <w:r>
            <w:rPr>
              <w:rFonts w:ascii="標楷體" w:cs="標楷體" w:eastAsia="標楷體" w:hAnsi="標楷體"/>
              <w:b w:val="false"/>
              <w:bCs w:val="false"/>
              <w:sz w:val="18"/>
              <w:szCs w:val="18"/>
            </w:rPr>
            <w:t xml:space="preserve"/>
          </w:r>
        </w:p>
      </w:tc>
      <w:tc>
        <w:tcPr>
          <w:tcW w:type="dxa" w:w="7537"/>
          <w:vMerge w:val="continue"/>
          <w:tcMar>
            <w:top w:type="dxa" w:w="40"/>
            <w:left w:type="dxa" w:w="70"/>
            <w:bottom w:type="dxa" w:w="40"/>
            <w:right w:type="dxa" w:w="70"/>
          </w:tcMar>
          <w:vAlign w:val="center"/>
        </w:tcPr>
        <w:p>
          <w:pPr>
            <w:spacing w:line="230"/>
            <w:jc w:val="left"/>
          </w:pPr>
          <w:r>
            <w:rPr>
              <w:rFonts w:ascii="標楷體" w:cs="標楷體" w:eastAsia="標楷體" w:hAnsi="標楷體"/>
              <w:b w:val="false"/>
              <w:bCs w:val="false"/>
              <w:sz w:val="18"/>
              <w:szCs w:val="18"/>
            </w:rPr>
            <w:t xml:space="preserve"/>
          </w:r>
        </w:p>
      </w:tc>
      <w:tc>
        <w:tcPr>
          <w:tcW w:type="dxa" w:w="1800"/>
          <w:shd w:fill="E8E8E8" w:color="auto" w:val="clear"/>
          <w:tcMar>
            <w:top w:type="dxa" w:w="40"/>
            <w:left w:type="dxa" w:w="70"/>
            <w:bottom w:type="dxa" w:w="40"/>
            <w:right w:type="dxa" w:w="70"/>
          </w:tcMar>
          <w:vAlign w:val="center"/>
        </w:tcPr>
        <w:p>
          <w:pPr>
            <w:spacing w:line="230"/>
            <w:jc w:val="center"/>
          </w:pPr>
          <w:r>
            <w:rPr>
              <w:rFonts w:ascii="標楷體" w:cs="標楷體" w:eastAsia="標楷體" w:hAnsi="標楷體"/>
              <w:b/>
              <w:bCs/>
              <w:sz w:val="18"/>
              <w:szCs w:val="18"/>
            </w:rPr>
            <w:t xml:space="preserve">所屬單位</w:t>
          </w:r>
        </w:p>
      </w:tc>
      <w:tc>
        <w:tcPr>
          <w:tcW w:type="dxa" w:w="4200"/>
          <w:tcMar>
            <w:top w:type="dxa" w:w="40"/>
            <w:left w:type="dxa" w:w="70"/>
            <w:bottom w:type="dxa" w:w="40"/>
            <w:right w:type="dxa" w:w="70"/>
          </w:tcMar>
          <w:vAlign w:val="center"/>
        </w:tcPr>
        <w:p>
          <w:pPr>
            <w:spacing w:line="230"/>
            <w:jc w:val="center"/>
          </w:pPr>
          <w:r>
            <w:rPr>
              <w:rFonts w:ascii="標楷體" w:cs="標楷體" w:eastAsia="標楷體" w:hAnsi="標楷體"/>
              <w:b w:val="false"/>
              <w:bCs w:val="false"/>
              <w:sz w:val="18"/>
              <w:szCs w:val="18"/>
            </w:rPr>
            <w:t xml:space="preserve">總務部</w:t>
          </w:r>
        </w:p>
      </w:tc>
    </w:tr>
  </w:tbl>
  <w:p>
    <w:pPr>
      <w:spacing w:after="0" w:line="10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標楷體" w:cs="標楷體" w:eastAsia="標楷體" w:hAnsi="標楷體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image" Target="media/be8f6918e6803fd512c8b9a151829a1c0fa5dbcf.jp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2026-08-07T18:17:53.775Z</dcterms:created>
  <dcterms:modified xsi:type="dcterms:W3CDTF">2026-08-07T18:17:53.775Z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