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428750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光田醫療社團法人光田綜合醫院　ISO 50001 能源管理系統</w:t>
      </w:r>
    </w:p>
    <w:p>
      <w:pPr>
        <w:spacing w:after="100"/>
        <w:jc w:val="center"/>
      </w:pPr>
      <w:r>
        <w:rPr>
          <w:rFonts w:ascii="標楷體" w:cs="標楷體" w:eastAsia="標楷體" w:hAnsi="標楷體"/>
          <w:b/>
          <w:bCs/>
          <w:sz w:val="32"/>
          <w:szCs w:val="32"/>
        </w:rPr>
        <w:t xml:space="preserve">管理階層審查會議紀錄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103"/>
        <w:gridCol w:w="1200"/>
        <w:gridCol w:w="1500"/>
        <w:gridCol w:w="900"/>
        <w:gridCol w:w="2003"/>
      </w:tblGrid>
      <w:tr>
        <w:tc>
          <w:tcPr>
            <w:tcW w:type="dxa" w:w="15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表單編號</w:t>
            </w:r>
          </w:p>
        </w:tc>
        <w:tc>
          <w:tcPr>
            <w:tcW w:type="dxa" w:w="3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1D10ATF5010-(01)</w:t>
            </w:r>
          </w:p>
        </w:tc>
        <w:tc>
          <w:tcPr>
            <w:tcW w:type="dxa" w:w="1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版　次</w:t>
            </w:r>
          </w:p>
        </w:tc>
        <w:tc>
          <w:tcPr>
            <w:tcW w:type="dxa" w:w="1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階層</w:t>
            </w:r>
          </w:p>
        </w:tc>
        <w:tc>
          <w:tcPr>
            <w:tcW w:type="dxa" w:w="20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第四階（部科室管制）</w:t>
            </w:r>
          </w:p>
        </w:tc>
      </w:tr>
      <w:tr>
        <w:tc>
          <w:tcPr>
            <w:tcW w:type="dxa" w:w="15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所屬文件</w:t>
            </w:r>
          </w:p>
        </w:tc>
        <w:tc>
          <w:tcPr>
            <w:tcW w:type="dxa" w:w="3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1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制定單位</w:t>
            </w:r>
          </w:p>
        </w:tc>
        <w:tc>
          <w:tcPr>
            <w:tcW w:type="dxa" w:w="1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保存</w:t>
            </w:r>
          </w:p>
        </w:tc>
        <w:tc>
          <w:tcPr>
            <w:tcW w:type="dxa" w:w="20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三年</w:t>
            </w:r>
          </w:p>
        </w:tc>
      </w:tr>
    </w:tbl>
    <w:p>
      <w:pPr>
        <w:spacing w:after="18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1600"/>
        <w:gridCol w:w="3706"/>
      </w:tblGrid>
      <w:tr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會議日期</w:t>
            </w:r>
          </w:p>
        </w:tc>
        <w:tc>
          <w:tcPr>
            <w:tcW w:type="dxa" w:w="3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　　　年　　月　　日</w:t>
            </w:r>
          </w:p>
        </w:tc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會議地點</w:t>
            </w:r>
          </w:p>
        </w:tc>
        <w:tc>
          <w:tcPr>
            <w:tcW w:type="dxa" w:w="37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主　　席</w:t>
            </w:r>
          </w:p>
        </w:tc>
        <w:tc>
          <w:tcPr>
            <w:tcW w:type="dxa" w:w="3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總院長</w:t>
            </w:r>
          </w:p>
        </w:tc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紀　　錄</w:t>
            </w:r>
          </w:p>
        </w:tc>
        <w:tc>
          <w:tcPr>
            <w:tcW w:type="dxa" w:w="37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出席人員</w:t>
            </w:r>
          </w:p>
        </w:tc>
        <w:tc>
          <w:tcPr>
            <w:tcW w:type="dxa" w:w="8606"/>
            <w:gridSpan w:val="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（總召集人、永續核心、ISO 50001 管理代表、執行秘書及能源管理盤查小組成員）</w:t>
            </w:r>
          </w:p>
        </w:tc>
      </w:tr>
      <w:tr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列席人員</w:t>
            </w:r>
          </w:p>
        </w:tc>
        <w:tc>
          <w:tcPr>
            <w:tcW w:type="dxa" w:w="8606"/>
            <w:gridSpan w:val="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壹、審查投入（Input）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906"/>
      </w:tblGrid>
      <w:tr>
        <w:trPr>
          <w:tblHeader/>
        </w:trPr>
        <w:tc>
          <w:tcPr>
            <w:tcW w:type="dxa" w:w="7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項次</w:t>
            </w:r>
          </w:p>
        </w:tc>
        <w:tc>
          <w:tcPr>
            <w:tcW w:type="dxa" w:w="4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審查項目</w:t>
            </w:r>
          </w:p>
        </w:tc>
        <w:tc>
          <w:tcPr>
            <w:tcW w:type="dxa" w:w="4906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審查情形</w:t>
            </w:r>
          </w:p>
        </w:tc>
      </w:tr>
      <w:tr>
        <w:trPr>
          <w:trHeight w:val="48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9"/>
                <w:szCs w:val="19"/>
              </w:rPr>
              <w:t xml:space="preserve">先前管理階層審查各項措施之狀況</w:t>
            </w:r>
          </w:p>
        </w:tc>
        <w:tc>
          <w:tcPr>
            <w:tcW w:type="dxa" w:w="49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9"/>
                <w:szCs w:val="19"/>
              </w:rPr>
              <w:t xml:space="preserve">外部與內部議題及其相關連風險與機會之變更</w:t>
            </w:r>
          </w:p>
        </w:tc>
        <w:tc>
          <w:tcPr>
            <w:tcW w:type="dxa" w:w="49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9"/>
                <w:szCs w:val="19"/>
              </w:rPr>
              <w:t xml:space="preserve">能源管理系統績效資訊之趨勢（不符合事項與矯正措施、監督與量測結果、稽核結果、守規性評估結果）</w:t>
            </w:r>
          </w:p>
        </w:tc>
        <w:tc>
          <w:tcPr>
            <w:tcW w:type="dxa" w:w="49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9"/>
                <w:szCs w:val="19"/>
              </w:rPr>
              <w:t xml:space="preserve">持續改進之機會（含人員適任性）</w:t>
            </w:r>
          </w:p>
        </w:tc>
        <w:tc>
          <w:tcPr>
            <w:tcW w:type="dxa" w:w="49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9"/>
                <w:szCs w:val="19"/>
              </w:rPr>
              <w:t xml:space="preserve">能源政策之適切性</w:t>
            </w:r>
          </w:p>
        </w:tc>
        <w:tc>
          <w:tcPr>
            <w:tcW w:type="dxa" w:w="49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9"/>
                <w:szCs w:val="19"/>
              </w:rPr>
              <w:t xml:space="preserve">目標與能源標的已符合之程度</w:t>
            </w:r>
          </w:p>
        </w:tc>
        <w:tc>
          <w:tcPr>
            <w:tcW w:type="dxa" w:w="49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9"/>
                <w:szCs w:val="19"/>
              </w:rPr>
              <w:t xml:space="preserve">依能源績效指標(EnPI)之能源績效及其改進</w:t>
            </w:r>
          </w:p>
        </w:tc>
        <w:tc>
          <w:tcPr>
            <w:tcW w:type="dxa" w:w="49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9"/>
                <w:szCs w:val="19"/>
              </w:rPr>
              <w:t xml:space="preserve">行動計畫之現況</w:t>
            </w:r>
          </w:p>
        </w:tc>
        <w:tc>
          <w:tcPr>
            <w:tcW w:type="dxa" w:w="49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貳、審查產出（Output）與決議事項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900"/>
        <w:gridCol w:w="1600"/>
        <w:gridCol w:w="1806"/>
      </w:tblGrid>
      <w:tr>
        <w:trPr>
          <w:tblHeader/>
        </w:trPr>
        <w:tc>
          <w:tcPr>
            <w:tcW w:type="dxa" w:w="7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項次</w:t>
            </w:r>
          </w:p>
        </w:tc>
        <w:tc>
          <w:tcPr>
            <w:tcW w:type="dxa" w:w="4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決議事項</w:t>
            </w:r>
          </w:p>
        </w:tc>
        <w:tc>
          <w:tcPr>
            <w:tcW w:type="dxa" w:w="1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負責單位</w:t>
            </w:r>
          </w:p>
        </w:tc>
        <w:tc>
          <w:tcPr>
            <w:tcW w:type="dxa" w:w="1806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完成期限</w:t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40" w:line="240"/>
      </w:pPr>
      <w:r>
        <w:rPr>
          <w:rFonts w:ascii="標楷體" w:cs="標楷體" w:eastAsia="標楷體" w:hAnsi="標楷體"/>
          <w:b/>
          <w:bCs/>
          <w:sz w:val="19"/>
          <w:szCs w:val="19"/>
        </w:rPr>
        <w:t xml:space="preserve">填表說明：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1. 「類別」欄請填：持續改進機會／系統變更需求／能源績效改進措施／資源需求／EnPI 或能源基準重新設定。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2. 審查每年至少辦理一次，由總院長主持；決議事項由總務部轉化為行動計畫，依 1D10ATP0066 辦理並追蹤至結案。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3. 本紀錄經主席核閱後保存，為 ISO 50001:2018 條款 9.3 管理階層審查結果之文件化資訊。</w:t>
      </w:r>
    </w:p>
    <w:p>
      <w:pPr>
        <w:spacing w:after="18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主席（總院長）：</w:t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ISO 50001 管理代表：</w:t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紀錄：</w:t>
            </w:r>
          </w:p>
        </w:tc>
      </w:tr>
      <w:tr>
        <w:trPr>
          <w:trHeight w:val="700" w:hRule="atLeast"/>
        </w:trPr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標楷體" w:cs="標楷體" w:eastAsia="標楷體" w:hAnsi="標楷體"/>
        <w:b w:val="false"/>
        <w:bCs w:val="false"/>
        <w:sz w:val="16"/>
        <w:szCs w:val="16"/>
      </w:rPr>
      <w:t xml:space="preserve">光田綜合醫院文件，非經許可不得以任何方式翻製或複印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e8f6918e6803fd512c8b9a151829a1c0fa5dbc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2026-08-07T18:16:23.194Z</dcterms:created>
  <dcterms:modified xsi:type="dcterms:W3CDTF">2026-08-07T18:16:23.194Z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