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E47A8" w14:textId="0FFAC470" w:rsidR="00F93616" w:rsidRDefault="0057315C" w:rsidP="00AA7FDD">
      <w:pPr>
        <w:pStyle w:val="Heading1"/>
      </w:pPr>
      <w:bookmarkStart w:id="0" w:name="_Toc69143830"/>
      <w:r w:rsidRPr="00AA7FDD">
        <w:t xml:space="preserve">Medicare Fees </w:t>
      </w:r>
      <w:r w:rsidR="0061267E" w:rsidRPr="00AA7FDD">
        <w:t>for</w:t>
      </w:r>
      <w:r w:rsidRPr="00AA7FDD">
        <w:t xml:space="preserve"> Service &amp; Supplier Costs Include Order &amp; Referring</w:t>
      </w:r>
      <w:r w:rsidR="00901571" w:rsidRPr="00AA7FDD">
        <w:t>: Including PART_B, HHA, DME, PMD &amp; Average Wait Times Between Providers</w:t>
      </w:r>
      <w:bookmarkEnd w:id="0"/>
    </w:p>
    <w:p w14:paraId="224EB32A" w14:textId="77777777" w:rsidR="00A23A37" w:rsidRPr="00A23A37" w:rsidRDefault="00A23A37" w:rsidP="00A23A37"/>
    <w:p w14:paraId="0DB04781" w14:textId="2ABAA328" w:rsidR="001B3B7A" w:rsidRDefault="001B3B7A" w:rsidP="00A23A37">
      <w:pPr>
        <w:jc w:val="center"/>
        <w:rPr>
          <w:sz w:val="40"/>
          <w:szCs w:val="40"/>
        </w:rPr>
      </w:pPr>
      <w:r w:rsidRPr="00A23A37">
        <w:rPr>
          <w:sz w:val="40"/>
          <w:szCs w:val="40"/>
        </w:rPr>
        <w:t>By Tyler Mann</w:t>
      </w:r>
    </w:p>
    <w:p w14:paraId="5511FF1C" w14:textId="2E74BD40" w:rsidR="007953B8" w:rsidRDefault="007953B8" w:rsidP="00A23A37">
      <w:pPr>
        <w:jc w:val="center"/>
        <w:rPr>
          <w:sz w:val="40"/>
          <w:szCs w:val="40"/>
        </w:rPr>
      </w:pPr>
    </w:p>
    <w:p w14:paraId="4F8CFF30" w14:textId="6F26C474" w:rsidR="007953B8" w:rsidRDefault="007953B8" w:rsidP="00A23A37">
      <w:pPr>
        <w:jc w:val="center"/>
        <w:rPr>
          <w:sz w:val="40"/>
          <w:szCs w:val="40"/>
        </w:rPr>
      </w:pPr>
    </w:p>
    <w:p w14:paraId="3D4B852F" w14:textId="15413D69" w:rsidR="007953B8" w:rsidRDefault="007953B8" w:rsidP="00A23A37">
      <w:pPr>
        <w:jc w:val="center"/>
        <w:rPr>
          <w:sz w:val="40"/>
          <w:szCs w:val="40"/>
        </w:rPr>
      </w:pPr>
    </w:p>
    <w:p w14:paraId="02DD96C0" w14:textId="77777777" w:rsidR="007953B8" w:rsidRDefault="007953B8" w:rsidP="00A23A37">
      <w:pPr>
        <w:jc w:val="center"/>
        <w:rPr>
          <w:sz w:val="40"/>
          <w:szCs w:val="40"/>
        </w:rPr>
      </w:pPr>
    </w:p>
    <w:sdt>
      <w:sdtPr>
        <w:id w:val="-628544621"/>
        <w:docPartObj>
          <w:docPartGallery w:val="Table of Contents"/>
          <w:docPartUnique/>
        </w:docPartObj>
      </w:sdtPr>
      <w:sdtEndPr>
        <w:rPr>
          <w:rFonts w:ascii="Verdana" w:eastAsiaTheme="minorHAnsi" w:hAnsi="Verdana" w:cstheme="minorBidi"/>
          <w:b/>
          <w:bCs/>
          <w:noProof/>
          <w:color w:val="auto"/>
          <w:sz w:val="20"/>
          <w:szCs w:val="20"/>
        </w:rPr>
      </w:sdtEndPr>
      <w:sdtContent>
        <w:p w14:paraId="20F56FDE" w14:textId="48CCA0E5" w:rsidR="00E15ED3" w:rsidRDefault="00E15ED3">
          <w:pPr>
            <w:pStyle w:val="TOCHeading"/>
          </w:pPr>
          <w:r>
            <w:t>Contents</w:t>
          </w:r>
        </w:p>
        <w:p w14:paraId="585B0280" w14:textId="7EA9EAA2" w:rsidR="00E15ED3" w:rsidRDefault="00E15ED3">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69143830" w:history="1">
            <w:r w:rsidRPr="000A5BAA">
              <w:rPr>
                <w:rStyle w:val="Hyperlink"/>
                <w:noProof/>
              </w:rPr>
              <w:t>Medicare Fees for Service &amp; Supplier Costs Include Order &amp; Referring: Including PART_B, HHA, DME, PMD &amp; Average Wait Times Between Providers</w:t>
            </w:r>
            <w:r>
              <w:rPr>
                <w:noProof/>
                <w:webHidden/>
              </w:rPr>
              <w:tab/>
            </w:r>
            <w:r>
              <w:rPr>
                <w:noProof/>
                <w:webHidden/>
              </w:rPr>
              <w:fldChar w:fldCharType="begin"/>
            </w:r>
            <w:r>
              <w:rPr>
                <w:noProof/>
                <w:webHidden/>
              </w:rPr>
              <w:instrText xml:space="preserve"> PAGEREF _Toc69143830 \h </w:instrText>
            </w:r>
            <w:r>
              <w:rPr>
                <w:noProof/>
                <w:webHidden/>
              </w:rPr>
            </w:r>
            <w:r>
              <w:rPr>
                <w:noProof/>
                <w:webHidden/>
              </w:rPr>
              <w:fldChar w:fldCharType="separate"/>
            </w:r>
            <w:r>
              <w:rPr>
                <w:noProof/>
                <w:webHidden/>
              </w:rPr>
              <w:t>1</w:t>
            </w:r>
            <w:r>
              <w:rPr>
                <w:noProof/>
                <w:webHidden/>
              </w:rPr>
              <w:fldChar w:fldCharType="end"/>
            </w:r>
          </w:hyperlink>
        </w:p>
        <w:p w14:paraId="367BC81C" w14:textId="658DEBD6" w:rsidR="00E15ED3" w:rsidRDefault="00E15ED3">
          <w:pPr>
            <w:pStyle w:val="TOC2"/>
            <w:tabs>
              <w:tab w:val="right" w:leader="dot" w:pos="9350"/>
            </w:tabs>
            <w:rPr>
              <w:rFonts w:asciiTheme="minorHAnsi" w:eastAsiaTheme="minorEastAsia" w:hAnsiTheme="minorHAnsi"/>
              <w:noProof/>
              <w:sz w:val="22"/>
              <w:szCs w:val="22"/>
            </w:rPr>
          </w:pPr>
          <w:hyperlink w:anchor="_Toc69143831" w:history="1">
            <w:r w:rsidRPr="000A5BAA">
              <w:rPr>
                <w:rStyle w:val="Hyperlink"/>
                <w:noProof/>
              </w:rPr>
              <w:t>Insight:</w:t>
            </w:r>
            <w:r>
              <w:rPr>
                <w:noProof/>
                <w:webHidden/>
              </w:rPr>
              <w:tab/>
            </w:r>
            <w:r>
              <w:rPr>
                <w:noProof/>
                <w:webHidden/>
              </w:rPr>
              <w:fldChar w:fldCharType="begin"/>
            </w:r>
            <w:r>
              <w:rPr>
                <w:noProof/>
                <w:webHidden/>
              </w:rPr>
              <w:instrText xml:space="preserve"> PAGEREF _Toc69143831 \h </w:instrText>
            </w:r>
            <w:r>
              <w:rPr>
                <w:noProof/>
                <w:webHidden/>
              </w:rPr>
            </w:r>
            <w:r>
              <w:rPr>
                <w:noProof/>
                <w:webHidden/>
              </w:rPr>
              <w:fldChar w:fldCharType="separate"/>
            </w:r>
            <w:r>
              <w:rPr>
                <w:noProof/>
                <w:webHidden/>
              </w:rPr>
              <w:t>2</w:t>
            </w:r>
            <w:r>
              <w:rPr>
                <w:noProof/>
                <w:webHidden/>
              </w:rPr>
              <w:fldChar w:fldCharType="end"/>
            </w:r>
          </w:hyperlink>
        </w:p>
        <w:p w14:paraId="45B8AB52" w14:textId="3D4608ED" w:rsidR="00E15ED3" w:rsidRDefault="00E15ED3">
          <w:pPr>
            <w:pStyle w:val="TOC3"/>
            <w:tabs>
              <w:tab w:val="right" w:leader="dot" w:pos="9350"/>
            </w:tabs>
            <w:rPr>
              <w:rFonts w:asciiTheme="minorHAnsi" w:eastAsiaTheme="minorEastAsia" w:hAnsiTheme="minorHAnsi"/>
              <w:noProof/>
              <w:sz w:val="22"/>
              <w:szCs w:val="22"/>
            </w:rPr>
          </w:pPr>
          <w:hyperlink w:anchor="_Toc69143832" w:history="1">
            <w:r w:rsidRPr="000A5BAA">
              <w:rPr>
                <w:rStyle w:val="Hyperlink"/>
                <w:noProof/>
              </w:rPr>
              <w:t>APPENDIX 1:</w:t>
            </w:r>
            <w:r>
              <w:rPr>
                <w:noProof/>
                <w:webHidden/>
              </w:rPr>
              <w:tab/>
            </w:r>
            <w:r>
              <w:rPr>
                <w:noProof/>
                <w:webHidden/>
              </w:rPr>
              <w:fldChar w:fldCharType="begin"/>
            </w:r>
            <w:r>
              <w:rPr>
                <w:noProof/>
                <w:webHidden/>
              </w:rPr>
              <w:instrText xml:space="preserve"> PAGEREF _Toc69143832 \h </w:instrText>
            </w:r>
            <w:r>
              <w:rPr>
                <w:noProof/>
                <w:webHidden/>
              </w:rPr>
            </w:r>
            <w:r>
              <w:rPr>
                <w:noProof/>
                <w:webHidden/>
              </w:rPr>
              <w:fldChar w:fldCharType="separate"/>
            </w:r>
            <w:r>
              <w:rPr>
                <w:noProof/>
                <w:webHidden/>
              </w:rPr>
              <w:t>5</w:t>
            </w:r>
            <w:r>
              <w:rPr>
                <w:noProof/>
                <w:webHidden/>
              </w:rPr>
              <w:fldChar w:fldCharType="end"/>
            </w:r>
          </w:hyperlink>
        </w:p>
        <w:p w14:paraId="589137C3" w14:textId="7B60AEB3" w:rsidR="00E15ED3" w:rsidRDefault="00E15ED3">
          <w:pPr>
            <w:pStyle w:val="TOC3"/>
            <w:tabs>
              <w:tab w:val="right" w:leader="dot" w:pos="9350"/>
            </w:tabs>
            <w:rPr>
              <w:rFonts w:asciiTheme="minorHAnsi" w:eastAsiaTheme="minorEastAsia" w:hAnsiTheme="minorHAnsi"/>
              <w:noProof/>
              <w:sz w:val="22"/>
              <w:szCs w:val="22"/>
            </w:rPr>
          </w:pPr>
          <w:hyperlink w:anchor="_Toc69143833" w:history="1">
            <w:r w:rsidRPr="000A5BAA">
              <w:rPr>
                <w:rStyle w:val="Hyperlink"/>
                <w:noProof/>
              </w:rPr>
              <w:t>APPENDIX 2:</w:t>
            </w:r>
            <w:r>
              <w:rPr>
                <w:noProof/>
                <w:webHidden/>
              </w:rPr>
              <w:tab/>
            </w:r>
            <w:r>
              <w:rPr>
                <w:noProof/>
                <w:webHidden/>
              </w:rPr>
              <w:fldChar w:fldCharType="begin"/>
            </w:r>
            <w:r>
              <w:rPr>
                <w:noProof/>
                <w:webHidden/>
              </w:rPr>
              <w:instrText xml:space="preserve"> PAGEREF _Toc69143833 \h </w:instrText>
            </w:r>
            <w:r>
              <w:rPr>
                <w:noProof/>
                <w:webHidden/>
              </w:rPr>
            </w:r>
            <w:r>
              <w:rPr>
                <w:noProof/>
                <w:webHidden/>
              </w:rPr>
              <w:fldChar w:fldCharType="separate"/>
            </w:r>
            <w:r>
              <w:rPr>
                <w:noProof/>
                <w:webHidden/>
              </w:rPr>
              <w:t>5</w:t>
            </w:r>
            <w:r>
              <w:rPr>
                <w:noProof/>
                <w:webHidden/>
              </w:rPr>
              <w:fldChar w:fldCharType="end"/>
            </w:r>
          </w:hyperlink>
        </w:p>
        <w:p w14:paraId="56151EE9" w14:textId="1001D899" w:rsidR="00E15ED3" w:rsidRDefault="00E15ED3">
          <w:pPr>
            <w:pStyle w:val="TOC3"/>
            <w:tabs>
              <w:tab w:val="right" w:leader="dot" w:pos="9350"/>
            </w:tabs>
            <w:rPr>
              <w:rFonts w:asciiTheme="minorHAnsi" w:eastAsiaTheme="minorEastAsia" w:hAnsiTheme="minorHAnsi"/>
              <w:noProof/>
              <w:sz w:val="22"/>
              <w:szCs w:val="22"/>
            </w:rPr>
          </w:pPr>
          <w:hyperlink w:anchor="_Toc69143834" w:history="1">
            <w:r w:rsidRPr="000A5BAA">
              <w:rPr>
                <w:rStyle w:val="Hyperlink"/>
                <w:noProof/>
              </w:rPr>
              <w:t>APPENDIX 1:</w:t>
            </w:r>
            <w:r>
              <w:rPr>
                <w:noProof/>
                <w:webHidden/>
              </w:rPr>
              <w:tab/>
            </w:r>
            <w:r>
              <w:rPr>
                <w:noProof/>
                <w:webHidden/>
              </w:rPr>
              <w:fldChar w:fldCharType="begin"/>
            </w:r>
            <w:r>
              <w:rPr>
                <w:noProof/>
                <w:webHidden/>
              </w:rPr>
              <w:instrText xml:space="preserve"> PAGEREF _Toc69143834 \h </w:instrText>
            </w:r>
            <w:r>
              <w:rPr>
                <w:noProof/>
                <w:webHidden/>
              </w:rPr>
            </w:r>
            <w:r>
              <w:rPr>
                <w:noProof/>
                <w:webHidden/>
              </w:rPr>
              <w:fldChar w:fldCharType="separate"/>
            </w:r>
            <w:r>
              <w:rPr>
                <w:noProof/>
                <w:webHidden/>
              </w:rPr>
              <w:t>8</w:t>
            </w:r>
            <w:r>
              <w:rPr>
                <w:noProof/>
                <w:webHidden/>
              </w:rPr>
              <w:fldChar w:fldCharType="end"/>
            </w:r>
          </w:hyperlink>
        </w:p>
        <w:p w14:paraId="034FC024" w14:textId="0A7BC1B8" w:rsidR="00E15ED3" w:rsidRDefault="00E15ED3">
          <w:pPr>
            <w:pStyle w:val="TOC3"/>
            <w:tabs>
              <w:tab w:val="right" w:leader="dot" w:pos="9350"/>
            </w:tabs>
            <w:rPr>
              <w:rFonts w:asciiTheme="minorHAnsi" w:eastAsiaTheme="minorEastAsia" w:hAnsiTheme="minorHAnsi"/>
              <w:noProof/>
              <w:sz w:val="22"/>
              <w:szCs w:val="22"/>
            </w:rPr>
          </w:pPr>
          <w:hyperlink w:anchor="_Toc69143835" w:history="1">
            <w:r w:rsidRPr="000A5BAA">
              <w:rPr>
                <w:rStyle w:val="Hyperlink"/>
                <w:noProof/>
              </w:rPr>
              <w:t>APPENDIX 2:</w:t>
            </w:r>
            <w:r>
              <w:rPr>
                <w:noProof/>
                <w:webHidden/>
              </w:rPr>
              <w:tab/>
            </w:r>
            <w:r>
              <w:rPr>
                <w:noProof/>
                <w:webHidden/>
              </w:rPr>
              <w:fldChar w:fldCharType="begin"/>
            </w:r>
            <w:r>
              <w:rPr>
                <w:noProof/>
                <w:webHidden/>
              </w:rPr>
              <w:instrText xml:space="preserve"> PAGEREF _Toc69143835 \h </w:instrText>
            </w:r>
            <w:r>
              <w:rPr>
                <w:noProof/>
                <w:webHidden/>
              </w:rPr>
            </w:r>
            <w:r>
              <w:rPr>
                <w:noProof/>
                <w:webHidden/>
              </w:rPr>
              <w:fldChar w:fldCharType="separate"/>
            </w:r>
            <w:r>
              <w:rPr>
                <w:noProof/>
                <w:webHidden/>
              </w:rPr>
              <w:t>10</w:t>
            </w:r>
            <w:r>
              <w:rPr>
                <w:noProof/>
                <w:webHidden/>
              </w:rPr>
              <w:fldChar w:fldCharType="end"/>
            </w:r>
          </w:hyperlink>
        </w:p>
        <w:p w14:paraId="258AE358" w14:textId="2A09F5F4" w:rsidR="00E15ED3" w:rsidRDefault="00E15ED3">
          <w:pPr>
            <w:pStyle w:val="TOC2"/>
            <w:tabs>
              <w:tab w:val="right" w:leader="dot" w:pos="9350"/>
            </w:tabs>
            <w:rPr>
              <w:rFonts w:asciiTheme="minorHAnsi" w:eastAsiaTheme="minorEastAsia" w:hAnsiTheme="minorHAnsi"/>
              <w:noProof/>
              <w:sz w:val="22"/>
              <w:szCs w:val="22"/>
            </w:rPr>
          </w:pPr>
          <w:hyperlink w:anchor="_Toc69143836" w:history="1">
            <w:r w:rsidRPr="000A5BAA">
              <w:rPr>
                <w:rStyle w:val="Hyperlink"/>
                <w:noProof/>
              </w:rPr>
              <w:t>Trifacta</w:t>
            </w:r>
            <w:r>
              <w:rPr>
                <w:noProof/>
                <w:webHidden/>
              </w:rPr>
              <w:tab/>
            </w:r>
            <w:r>
              <w:rPr>
                <w:noProof/>
                <w:webHidden/>
              </w:rPr>
              <w:fldChar w:fldCharType="begin"/>
            </w:r>
            <w:r>
              <w:rPr>
                <w:noProof/>
                <w:webHidden/>
              </w:rPr>
              <w:instrText xml:space="preserve"> PAGEREF _Toc69143836 \h </w:instrText>
            </w:r>
            <w:r>
              <w:rPr>
                <w:noProof/>
                <w:webHidden/>
              </w:rPr>
            </w:r>
            <w:r>
              <w:rPr>
                <w:noProof/>
                <w:webHidden/>
              </w:rPr>
              <w:fldChar w:fldCharType="separate"/>
            </w:r>
            <w:r>
              <w:rPr>
                <w:noProof/>
                <w:webHidden/>
              </w:rPr>
              <w:t>13</w:t>
            </w:r>
            <w:r>
              <w:rPr>
                <w:noProof/>
                <w:webHidden/>
              </w:rPr>
              <w:fldChar w:fldCharType="end"/>
            </w:r>
          </w:hyperlink>
        </w:p>
        <w:p w14:paraId="02D16A86" w14:textId="5C407EA3" w:rsidR="00E15ED3" w:rsidRDefault="00E15ED3">
          <w:r>
            <w:rPr>
              <w:b/>
              <w:bCs/>
              <w:noProof/>
            </w:rPr>
            <w:fldChar w:fldCharType="end"/>
          </w:r>
        </w:p>
      </w:sdtContent>
    </w:sdt>
    <w:p w14:paraId="2DB46287" w14:textId="034D34A6" w:rsidR="007953B8" w:rsidRDefault="007953B8">
      <w:pPr>
        <w:rPr>
          <w:sz w:val="40"/>
          <w:szCs w:val="40"/>
        </w:rPr>
      </w:pPr>
      <w:r>
        <w:rPr>
          <w:sz w:val="40"/>
          <w:szCs w:val="40"/>
        </w:rPr>
        <w:br w:type="page"/>
      </w:r>
    </w:p>
    <w:p w14:paraId="43E96F04" w14:textId="77777777" w:rsidR="00E15ED3" w:rsidRPr="00A23A37" w:rsidRDefault="00E15ED3" w:rsidP="00E15ED3">
      <w:pPr>
        <w:rPr>
          <w:sz w:val="40"/>
          <w:szCs w:val="40"/>
        </w:rPr>
      </w:pPr>
    </w:p>
    <w:p w14:paraId="7AC6A902" w14:textId="324EB9F3" w:rsidR="00B12ECF" w:rsidRDefault="00B12ECF" w:rsidP="0014162C"/>
    <w:p w14:paraId="11405B73" w14:textId="1DB2A68D" w:rsidR="00B12ECF" w:rsidRDefault="00AA3AB9" w:rsidP="007F5090">
      <w:pPr>
        <w:pStyle w:val="NoSpacing"/>
      </w:pPr>
      <w:r w:rsidRPr="00AA3AB9">
        <w:t>Introduction</w:t>
      </w:r>
    </w:p>
    <w:p w14:paraId="69AC20F9" w14:textId="77777777" w:rsidR="007F5090" w:rsidRDefault="007F5090" w:rsidP="007F5090">
      <w:pPr>
        <w:pStyle w:val="NoSpacing"/>
      </w:pPr>
    </w:p>
    <w:p w14:paraId="1956E156" w14:textId="2B990133" w:rsidR="0014162C" w:rsidRDefault="00EE4EFB" w:rsidP="007123C4">
      <w:pPr>
        <w:spacing w:line="240" w:lineRule="auto"/>
      </w:pPr>
      <w:r>
        <w:t xml:space="preserve">The </w:t>
      </w:r>
      <w:r w:rsidR="00C03193">
        <w:t xml:space="preserve">2018 Referring Durable Medical Equipment, Prosthetics, Orthotics and Supplies (DMEPOS) </w:t>
      </w:r>
      <w:r w:rsidR="000E209D">
        <w:t xml:space="preserve">file presents information on DMEPOS products and services provided to Medicare beneficiaries ordered by physicians and other healthcare professionals. </w:t>
      </w:r>
      <w:r w:rsidR="001F7072">
        <w:t>The Referring Provider DMEPOS contains data on utilization, payment</w:t>
      </w:r>
      <w:r w:rsidR="00A567E9">
        <w:t>, and submitted charges organized by National Provider Identifier (NPI)</w:t>
      </w:r>
      <w:r w:rsidR="00291F55">
        <w:t xml:space="preserve">, Healthcare Common Procedure Coding System (HCPCS) code and </w:t>
      </w:r>
      <w:r w:rsidR="0011238F">
        <w:t>BETOS</w:t>
      </w:r>
      <w:r w:rsidR="0043537D">
        <w:t xml:space="preserve"> Classification, which is </w:t>
      </w:r>
      <w:r w:rsidR="006C011A">
        <w:t>items, drugs, products, and wheelchairs offered</w:t>
      </w:r>
      <w:r w:rsidR="00760600">
        <w:t>.</w:t>
      </w:r>
      <w:r w:rsidR="004A61A2">
        <w:t xml:space="preserve"> Number </w:t>
      </w:r>
      <w:proofErr w:type="gramStart"/>
      <w:r w:rsidR="00E55826">
        <w:t>O</w:t>
      </w:r>
      <w:r w:rsidR="004A61A2">
        <w:t>f</w:t>
      </w:r>
      <w:proofErr w:type="gramEnd"/>
      <w:r w:rsidR="004A61A2">
        <w:t xml:space="preserve"> </w:t>
      </w:r>
      <w:r w:rsidR="00E55826">
        <w:t>S</w:t>
      </w:r>
      <w:r w:rsidR="004A61A2">
        <w:t xml:space="preserve">uppliers (how many suppliers each </w:t>
      </w:r>
      <w:r w:rsidR="00EA7987">
        <w:t xml:space="preserve">healthcare professional or clinic has), </w:t>
      </w:r>
      <w:r w:rsidR="00E55826">
        <w:t>Number Of Supplier Beneficiaries</w:t>
      </w:r>
      <w:r w:rsidR="00E6658D">
        <w:t xml:space="preserve"> (number of beneficiaries associated with the supplier DMEPOS products/services ordered by the referring provider)</w:t>
      </w:r>
      <w:r w:rsidR="006F3DE2">
        <w:t>, Number Of Supplier Claims (</w:t>
      </w:r>
      <w:r w:rsidR="002212CD">
        <w:t>number of DMEPOS claims submitted by the supplier</w:t>
      </w:r>
      <w:r w:rsidR="0003477C">
        <w:t>, reflecting products/services ordered by the referring provider), and Number Of Supplier Services (</w:t>
      </w:r>
      <w:r w:rsidR="0016027C">
        <w:t>number of DMEPOS products/services rendered by the supplier</w:t>
      </w:r>
      <w:r w:rsidR="000432A6">
        <w:t>).</w:t>
      </w:r>
      <w:r w:rsidR="00467B3D">
        <w:t xml:space="preserve"> Lastly, you have Average Supplier Submitted Charge (</w:t>
      </w:r>
      <w:r w:rsidR="0076323D">
        <w:t xml:space="preserve">average of the charges that suppliers submit for DMEPOS products/services), </w:t>
      </w:r>
      <w:r w:rsidR="006C1E5C">
        <w:t xml:space="preserve">Average Supplier Medicare Allowed Amounts (average </w:t>
      </w:r>
      <w:r w:rsidR="00B562B9">
        <w:t>Medicare</w:t>
      </w:r>
      <w:r w:rsidR="006C1E5C">
        <w:t xml:space="preserve"> allowed amounts </w:t>
      </w:r>
      <w:r w:rsidR="00B562B9">
        <w:t>for the DMEPOS product/service rendered by suppliers</w:t>
      </w:r>
      <w:r w:rsidR="004B1DD3">
        <w:t xml:space="preserve">), and </w:t>
      </w:r>
      <w:r w:rsidR="009A5967">
        <w:t>Average Supplier Medicare Payment Amount (average amount that Medicare paid suppliers after deductible and coinsurance amounts have been deducted for the line item DMEPOS product/service).</w:t>
      </w:r>
    </w:p>
    <w:p w14:paraId="27CFBC33" w14:textId="7CE5D799" w:rsidR="00622B30" w:rsidRDefault="00622B30" w:rsidP="007123C4">
      <w:pPr>
        <w:spacing w:line="240" w:lineRule="auto"/>
      </w:pPr>
      <w:r>
        <w:t xml:space="preserve">NOTE: </w:t>
      </w:r>
      <w:r w:rsidR="00393C7D">
        <w:t xml:space="preserve">Of particular importance is the fact that the data may not be representative of a physician’s entire </w:t>
      </w:r>
      <w:r w:rsidR="004353CB">
        <w:t>practice as it only includes information on Medicare fee-for-service beneficiaries.</w:t>
      </w:r>
      <w:r w:rsidR="004A2820">
        <w:t xml:space="preserve"> </w:t>
      </w:r>
      <w:r w:rsidR="0023357E">
        <w:t>(</w:t>
      </w:r>
      <w:r w:rsidR="00333FAF">
        <w:t>Data.cms.gov</w:t>
      </w:r>
      <w:r w:rsidR="0023357E">
        <w:t>,</w:t>
      </w:r>
      <w:r w:rsidR="00333FAF">
        <w:t xml:space="preserve"> 2018).</w:t>
      </w:r>
    </w:p>
    <w:p w14:paraId="188D112E" w14:textId="3FC78890" w:rsidR="00F70853" w:rsidRDefault="001F2951" w:rsidP="007123C4">
      <w:pPr>
        <w:spacing w:line="240" w:lineRule="auto"/>
      </w:pPr>
      <w:r>
        <w:t>Datasets of Doc</w:t>
      </w:r>
      <w:r w:rsidR="00670C6E">
        <w:t xml:space="preserve"> </w:t>
      </w:r>
      <w:r>
        <w:t>Graph Hop Teaming Documentation and Ordering and Referring References have been combined</w:t>
      </w:r>
      <w:r w:rsidR="00387328">
        <w:t xml:space="preserve"> by “INNER JOIN” function to create one dataset. </w:t>
      </w:r>
      <w:r w:rsidR="00670C6E">
        <w:t>The Doc Graph</w:t>
      </w:r>
      <w:r w:rsidR="009501E0">
        <w:t xml:space="preserve"> Hop Teaming data structure uses </w:t>
      </w:r>
      <w:r w:rsidR="003A4DAC">
        <w:t>the average amount of days</w:t>
      </w:r>
      <w:r w:rsidR="00425220">
        <w:t xml:space="preserve"> a patient waits till they are seen from one NPI (</w:t>
      </w:r>
      <w:r w:rsidR="00A4103B">
        <w:t xml:space="preserve">medical provider) to another in sequence. It also </w:t>
      </w:r>
      <w:r w:rsidR="00323532">
        <w:t>provides the number of patients between the providers</w:t>
      </w:r>
      <w:r w:rsidR="003618EE">
        <w:t xml:space="preserve"> and number of transactions from one provider to another. </w:t>
      </w:r>
      <w:r w:rsidR="00763FEE">
        <w:t>(</w:t>
      </w:r>
      <w:r w:rsidR="00BC1ADC">
        <w:t>CareSet Dataset</w:t>
      </w:r>
      <w:r w:rsidR="00054B0F">
        <w:t xml:space="preserve">.com, 2019). </w:t>
      </w:r>
      <w:r w:rsidR="00DE4AF5">
        <w:t>The Ordering and Referring Reference</w:t>
      </w:r>
      <w:r w:rsidR="000E5338">
        <w:t xml:space="preserve"> provides CMS regulations that require physicians or other eli</w:t>
      </w:r>
      <w:r w:rsidR="00773610">
        <w:t xml:space="preserve">gible professionals to be enrolled or validly opted-out of the Medicare Program to </w:t>
      </w:r>
      <w:r w:rsidR="002F5003">
        <w:t>order and refer items or services for Medicare beneficiaries</w:t>
      </w:r>
      <w:r w:rsidR="006705AC">
        <w:t>.</w:t>
      </w:r>
      <w:r w:rsidR="002A5FF6">
        <w:t xml:space="preserve"> It </w:t>
      </w:r>
      <w:r w:rsidR="00AC59BD">
        <w:t xml:space="preserve">uses the NPI number to verify whether a provider </w:t>
      </w:r>
      <w:r w:rsidR="005E5D68">
        <w:t>offers PART B, DME, HHA</w:t>
      </w:r>
      <w:r w:rsidR="00791E33">
        <w:t>, and PMD coverage to Medicare clients.</w:t>
      </w:r>
    </w:p>
    <w:p w14:paraId="64CECD62" w14:textId="5DAF9618" w:rsidR="005B41C7" w:rsidRDefault="005B41C7" w:rsidP="007123C4">
      <w:pPr>
        <w:spacing w:line="240" w:lineRule="auto"/>
      </w:pPr>
      <w:r>
        <w:t xml:space="preserve">PART B: </w:t>
      </w:r>
      <w:r w:rsidR="00485663">
        <w:t>Is medical in</w:t>
      </w:r>
      <w:r w:rsidR="00162A11">
        <w:t>surance and covers expenses like doctor appointments, laboratory tests and X-rays</w:t>
      </w:r>
      <w:r w:rsidR="003871DF">
        <w:t xml:space="preserve"> for patients.</w:t>
      </w:r>
    </w:p>
    <w:p w14:paraId="00A07467" w14:textId="6DF906E1" w:rsidR="00A11363" w:rsidRDefault="003871DF" w:rsidP="00A11363">
      <w:pPr>
        <w:spacing w:line="240" w:lineRule="auto"/>
      </w:pPr>
      <w:r>
        <w:t>DME or (</w:t>
      </w:r>
      <w:r w:rsidR="0014693E">
        <w:t>Durable Medical Equipment</w:t>
      </w:r>
      <w:r>
        <w:t xml:space="preserve">): </w:t>
      </w:r>
      <w:r w:rsidR="009C51E6">
        <w:t xml:space="preserve">Refers </w:t>
      </w:r>
      <w:r w:rsidR="00FD685D">
        <w:t xml:space="preserve">to </w:t>
      </w:r>
      <w:r w:rsidR="00EB4894">
        <w:t>equipment</w:t>
      </w:r>
      <w:r w:rsidR="00A57EC3">
        <w:t xml:space="preserve"> needed for use in the home, such as, blood sugar meters, canes, commode chairs, walkers, wheelchairs/scooters</w:t>
      </w:r>
      <w:r w:rsidR="00040A8B">
        <w:t xml:space="preserve">, hospital beds, crutches, patient lifts </w:t>
      </w:r>
      <w:r w:rsidR="009F21DD">
        <w:t>etc.</w:t>
      </w:r>
      <w:r w:rsidR="00040A8B">
        <w:t>…</w:t>
      </w:r>
    </w:p>
    <w:p w14:paraId="3DB9E8C0" w14:textId="125DCF7B" w:rsidR="009F21DD" w:rsidRDefault="009F21DD" w:rsidP="009F21DD">
      <w:pPr>
        <w:spacing w:line="240" w:lineRule="auto"/>
      </w:pPr>
      <w:r>
        <w:t xml:space="preserve">HHA or (Home Health Aides): </w:t>
      </w:r>
      <w:r w:rsidR="009A1367">
        <w:t>Provide personal care to elderly adults with daily tasks such as bathing, getting dressed, preparing meals, eating, and hygiene needs</w:t>
      </w:r>
      <w:r w:rsidR="00EF322A">
        <w:t>. HHAs require certification by the state.</w:t>
      </w:r>
    </w:p>
    <w:p w14:paraId="33ED589B" w14:textId="0589CC52" w:rsidR="00EF322A" w:rsidRDefault="00EF322A" w:rsidP="009F21DD">
      <w:pPr>
        <w:spacing w:line="240" w:lineRule="auto"/>
      </w:pPr>
      <w:r>
        <w:t>PMD or (</w:t>
      </w:r>
      <w:r w:rsidR="00E04CB2">
        <w:t>Power Mobility Devices): Are covered under</w:t>
      </w:r>
      <w:r w:rsidR="000A5D2E">
        <w:t xml:space="preserve"> DME and are power operated vehicles</w:t>
      </w:r>
      <w:r w:rsidR="00182F7C">
        <w:t xml:space="preserve"> which are power wheelchairs and scooters</w:t>
      </w:r>
      <w:r w:rsidR="0075626A">
        <w:t>.</w:t>
      </w:r>
    </w:p>
    <w:p w14:paraId="12700C88" w14:textId="13B063FE" w:rsidR="00A11363" w:rsidRDefault="0068522E" w:rsidP="006B121E">
      <w:pPr>
        <w:pStyle w:val="Heading2"/>
      </w:pPr>
      <w:bookmarkStart w:id="1" w:name="_Toc69143831"/>
      <w:r>
        <w:t>Insight</w:t>
      </w:r>
      <w:r w:rsidR="006B121E">
        <w:t>:</w:t>
      </w:r>
      <w:bookmarkEnd w:id="1"/>
    </w:p>
    <w:p w14:paraId="70F8BE45" w14:textId="4C2EF068" w:rsidR="006B121E" w:rsidRDefault="00334C55" w:rsidP="006B121E">
      <w:r>
        <w:lastRenderedPageBreak/>
        <w:t>The physician self-referral low and commonly referred to as the “Stark Law”</w:t>
      </w:r>
      <w:r w:rsidR="00E528CA">
        <w:t xml:space="preserve"> prohibits a physician from making referrals for certain designated health services</w:t>
      </w:r>
      <w:r w:rsidR="00814007">
        <w:t xml:space="preserve"> payable by Medicare to an entity with which he or she has a financial relationship</w:t>
      </w:r>
      <w:r w:rsidR="00DA6DEF">
        <w:t xml:space="preserve"> unless an exception applies. Prohibits the entity from presenting or causing </w:t>
      </w:r>
      <w:r w:rsidR="004173BE">
        <w:t>to be presented claims to Medicare for those referred services</w:t>
      </w:r>
      <w:r w:rsidR="00B44AC2">
        <w:t xml:space="preserve"> (cms.gov</w:t>
      </w:r>
      <w:r w:rsidR="003B76D4">
        <w:t>, 2021</w:t>
      </w:r>
      <w:r w:rsidR="00B44AC2">
        <w:t>)</w:t>
      </w:r>
      <w:r w:rsidR="003B76D4">
        <w:t>.</w:t>
      </w:r>
    </w:p>
    <w:p w14:paraId="1B79FAD1" w14:textId="0E4B16A3" w:rsidR="00AF2FCC" w:rsidRDefault="00AF2FCC" w:rsidP="00AF2FCC">
      <w:pPr>
        <w:rPr>
          <w:shd w:val="clear" w:color="auto" w:fill="FFFFFF"/>
        </w:rPr>
      </w:pPr>
      <w:r>
        <w:rPr>
          <w:shd w:val="clear" w:color="auto" w:fill="FFFFFF"/>
        </w:rPr>
        <w:t>Users of Medicaid data may note apparent inconsistencies which are primarily due to the difference in the information captured in MSIS, or the former HCFA-2082, versus CMS-64 reports. The most substantive difference is due to payments made to "disproportionate share hospitals." Disproportionate share hospitals receive higher Medicaid reimbursement than other hospitals because they treat a disproportionate share of Medicaid patients. States determine if hospitals meet the criteria to be considered a "disproportionate share hospital" and establish a formula used to calculate the amount of the payment, subject to certain minimum standards under the law. States claim the Federal match for payments to disproportionate share hospitals on the CMS-64. States combine this claim either with other inpatient hospital services claims or with mental health facility claims. However, payments to disproportionate share hospitals do not appear in MSIS since states directly reimburse these hospitals and there is no fee-for-service billing (</w:t>
      </w:r>
      <w:r w:rsidR="00210321">
        <w:rPr>
          <w:shd w:val="clear" w:color="auto" w:fill="FFFFFF"/>
        </w:rPr>
        <w:t>cms.gov</w:t>
      </w:r>
      <w:r w:rsidR="003B76D4">
        <w:rPr>
          <w:shd w:val="clear" w:color="auto" w:fill="FFFFFF"/>
        </w:rPr>
        <w:t>, 2021</w:t>
      </w:r>
      <w:r w:rsidR="00210321">
        <w:rPr>
          <w:shd w:val="clear" w:color="auto" w:fill="FFFFFF"/>
        </w:rPr>
        <w:t>).</w:t>
      </w:r>
    </w:p>
    <w:p w14:paraId="084BB5EC" w14:textId="77777777" w:rsidR="00E22517" w:rsidRPr="00E22517" w:rsidRDefault="00E22517" w:rsidP="00FA39E5">
      <w:pPr>
        <w:spacing w:line="240" w:lineRule="auto"/>
      </w:pPr>
      <w:r w:rsidRPr="00E22517">
        <w:t>Individuals who must pay a premium for Part A must meet the following requirements to enroll in Part B:</w:t>
      </w:r>
    </w:p>
    <w:p w14:paraId="5B8EC8B1" w14:textId="77777777" w:rsidR="00E22517" w:rsidRPr="00E22517" w:rsidRDefault="00E22517" w:rsidP="00FA39E5">
      <w:pPr>
        <w:spacing w:line="240" w:lineRule="auto"/>
      </w:pPr>
      <w:r w:rsidRPr="00E22517">
        <w:t>Be age 65 or older;</w:t>
      </w:r>
    </w:p>
    <w:p w14:paraId="0FB623B7" w14:textId="77777777" w:rsidR="00E22517" w:rsidRPr="00E22517" w:rsidRDefault="00E22517" w:rsidP="00FA39E5">
      <w:pPr>
        <w:spacing w:line="240" w:lineRule="auto"/>
      </w:pPr>
      <w:r w:rsidRPr="00E22517">
        <w:t>Be a U.S. resident; AND</w:t>
      </w:r>
    </w:p>
    <w:p w14:paraId="5984EF28" w14:textId="77777777" w:rsidR="00E22517" w:rsidRPr="00E22517" w:rsidRDefault="00E22517" w:rsidP="00FA39E5">
      <w:pPr>
        <w:spacing w:line="240" w:lineRule="auto"/>
      </w:pPr>
      <w:r w:rsidRPr="00E22517">
        <w:t>Be either a U.S. citizen, OR</w:t>
      </w:r>
    </w:p>
    <w:p w14:paraId="5BD7BCE7" w14:textId="77777777" w:rsidR="00E22517" w:rsidRPr="00E22517" w:rsidRDefault="00E22517" w:rsidP="00FA39E5">
      <w:pPr>
        <w:spacing w:line="240" w:lineRule="auto"/>
      </w:pPr>
      <w:r w:rsidRPr="00E22517">
        <w:t>Be an alien who has been lawfully admitted for permanent residence and has been residing in the United States for 5 continuous years prior to the month of filing an application for Medicare.</w:t>
      </w:r>
    </w:p>
    <w:p w14:paraId="71B0365D" w14:textId="77777777" w:rsidR="00E22517" w:rsidRPr="006B121E" w:rsidRDefault="00E22517" w:rsidP="00AF2FCC"/>
    <w:p w14:paraId="057945DB" w14:textId="3263B817" w:rsidR="00A11363" w:rsidRPr="007F5090" w:rsidRDefault="00472525" w:rsidP="007F5090">
      <w:pPr>
        <w:pStyle w:val="NoSpacing"/>
      </w:pPr>
      <w:r w:rsidRPr="007F5090">
        <w:t>Data</w:t>
      </w:r>
    </w:p>
    <w:p w14:paraId="369A23E5" w14:textId="77777777" w:rsidR="00D05673" w:rsidRDefault="00D05673" w:rsidP="007F5090">
      <w:pPr>
        <w:pStyle w:val="NoSpacing"/>
      </w:pPr>
    </w:p>
    <w:p w14:paraId="26B78E23" w14:textId="77777777" w:rsidR="00EB3482" w:rsidRDefault="00D26F12" w:rsidP="00472525">
      <w:r>
        <w:t xml:space="preserve">I </w:t>
      </w:r>
      <w:r w:rsidR="00D05673">
        <w:t xml:space="preserve">used three different datasets used </w:t>
      </w:r>
      <w:r w:rsidR="00F86CD8">
        <w:t xml:space="preserve">in referring Medicare. Medicare Referring Provider </w:t>
      </w:r>
      <w:r w:rsidR="00B71E77">
        <w:t>D</w:t>
      </w:r>
      <w:r w:rsidR="00F86CD8">
        <w:t>MEPOS</w:t>
      </w:r>
      <w:r w:rsidR="00B71E77">
        <w:t xml:space="preserve"> PUF CY2018</w:t>
      </w:r>
      <w:r w:rsidR="00C27CC2">
        <w:t xml:space="preserve"> </w:t>
      </w:r>
      <w:r w:rsidR="00C27CC2" w:rsidRPr="00C27CC2">
        <w:t>presents information on DMEPOS products and services provided to Medicare beneficiaries ordered by physicians and other healthcare professionals. The Referring Provider DMEPOS PUF contains data on utilization, payment (allowed amount and Medicare payment), and submitted charges organized by National Provider Identifier (NPI), Healthcare Common Procedure Coding System (HCPCS) code and supplier rental indicator. This PUF is based on information from CMS administrative claims data for Medicare beneficiaries enrolled in the fee-for-service program available from the CMS Chronic Condition Data Warehouse (</w:t>
      </w:r>
      <w:hyperlink r:id="rId6" w:tgtFrame="_blank" w:history="1">
        <w:r w:rsidR="00C27CC2" w:rsidRPr="00C27CC2">
          <w:t>www.ccwdata.org</w:t>
        </w:r>
      </w:hyperlink>
      <w:r w:rsidR="00C27CC2" w:rsidRPr="00C27CC2">
        <w:t>). The data in the Referring Provider DMEPOS PUF covers calendar year 2018 and contains final-action (i.e., all claim adjustments have been resolved) Part B non-institutional DMEPOS line items for the Medicare fee-for-service (FFS) population.</w:t>
      </w:r>
      <w:r w:rsidR="00C27CC2">
        <w:t xml:space="preserve"> </w:t>
      </w:r>
    </w:p>
    <w:p w14:paraId="2FD79E9C" w14:textId="63601262" w:rsidR="00DA2D75" w:rsidRDefault="005501AE" w:rsidP="00472525">
      <w:r>
        <w:t xml:space="preserve">The source is </w:t>
      </w:r>
      <w:r w:rsidR="00EB3482">
        <w:t>the Medicare Provider Data Team (</w:t>
      </w:r>
      <w:hyperlink r:id="rId7" w:history="1">
        <w:r w:rsidR="00E862C5" w:rsidRPr="00B8368E">
          <w:rPr>
            <w:rStyle w:val="Hyperlink"/>
          </w:rPr>
          <w:t>medicareproviderdata@cms.hhs.gov</w:t>
        </w:r>
      </w:hyperlink>
      <w:r w:rsidR="00EB3482">
        <w:t>)</w:t>
      </w:r>
      <w:r w:rsidR="00E862C5">
        <w:t>, it contains 28 columns and 1.66M rows of data.</w:t>
      </w:r>
      <w:r w:rsidR="002D5943">
        <w:t xml:space="preserve"> This data was collected to monitor Medicare costs</w:t>
      </w:r>
      <w:r w:rsidR="000A6570">
        <w:t xml:space="preserve"> of provider and supplier, as well as claims and payments</w:t>
      </w:r>
      <w:r w:rsidR="00A070D5">
        <w:t>.</w:t>
      </w:r>
    </w:p>
    <w:p w14:paraId="77AE13F6" w14:textId="7A1DC746" w:rsidR="003941A0" w:rsidRDefault="003941A0" w:rsidP="00472525">
      <w:r>
        <w:lastRenderedPageBreak/>
        <w:t xml:space="preserve">The Order and Referring </w:t>
      </w:r>
      <w:r w:rsidR="0025431A" w:rsidRPr="0025431A">
        <w:t>data file have National Provider Identifier (NPI) and legal name (last name, first name) of all physicians and non-physician practitioners who are of a type/specialty that is legally eligible to order and refer in the Medicare program and who have current enrollment records in Medicare (i.e., they have enrollment records in PECOS)</w:t>
      </w:r>
      <w:r w:rsidR="0025431A">
        <w:t>.</w:t>
      </w:r>
    </w:p>
    <w:p w14:paraId="6372BA52" w14:textId="443920C6" w:rsidR="00E9542D" w:rsidRDefault="00E9542D" w:rsidP="00472525">
      <w:r>
        <w:t>The source is CMS (</w:t>
      </w:r>
      <w:hyperlink r:id="rId8" w:history="1">
        <w:r w:rsidR="00607F64" w:rsidRPr="00B8368E">
          <w:rPr>
            <w:rStyle w:val="Hyperlink"/>
          </w:rPr>
          <w:t>cardinal.williams@cms.hhs.gov</w:t>
        </w:r>
      </w:hyperlink>
      <w:r>
        <w:t>)</w:t>
      </w:r>
      <w:r w:rsidR="00607F64">
        <w:t>, it contains 7 columns and 1.62M rows of data.</w:t>
      </w:r>
      <w:r w:rsidR="008C3D8D">
        <w:t xml:space="preserve"> This data was collected because of the requirements for </w:t>
      </w:r>
      <w:r w:rsidR="001D3BD0">
        <w:t>physicians</w:t>
      </w:r>
      <w:r w:rsidR="008C3D8D">
        <w:t xml:space="preserve"> and </w:t>
      </w:r>
      <w:r w:rsidR="00C90CB8">
        <w:t>other professionals to be enrolled or validly opted-out of the Medicare Program to order or refer items or ser</w:t>
      </w:r>
      <w:r w:rsidR="00615E6B">
        <w:t>vices for Medicare beneficiaries.</w:t>
      </w:r>
    </w:p>
    <w:p w14:paraId="76D2440B" w14:textId="022B4268" w:rsidR="00FE36DE" w:rsidRPr="0025431A" w:rsidRDefault="008B239B" w:rsidP="00472525">
      <w:r>
        <w:t>The Doc Graph Hop Dataset</w:t>
      </w:r>
      <w:r w:rsidR="00A06228">
        <w:t xml:space="preserve"> </w:t>
      </w:r>
      <w:r w:rsidR="009D14F4">
        <w:t>looks at the from and to NPI to interpret the average number of days a patient waits till they see</w:t>
      </w:r>
      <w:r w:rsidR="00DB078B">
        <w:t xml:space="preserve"> their other provider, and it goes back and forth. </w:t>
      </w:r>
      <w:r w:rsidR="000C34EE">
        <w:t xml:space="preserve">It contains </w:t>
      </w:r>
      <w:r w:rsidR="00DD30FC">
        <w:t xml:space="preserve">6 columns and </w:t>
      </w:r>
      <w:r w:rsidR="005270D0">
        <w:t>over 1</w:t>
      </w:r>
      <w:r w:rsidR="00FD761B">
        <w:t>00</w:t>
      </w:r>
      <w:r w:rsidR="00164308">
        <w:t>M</w:t>
      </w:r>
      <w:r w:rsidR="005270D0">
        <w:t xml:space="preserve"> rows of data, but this was </w:t>
      </w:r>
      <w:r w:rsidR="00BA4C1B">
        <w:t xml:space="preserve">combined with Order and Referring </w:t>
      </w:r>
      <w:r w:rsidR="00FD761B">
        <w:t>limited it to 78M</w:t>
      </w:r>
      <w:r w:rsidR="00840114">
        <w:t xml:space="preserve"> rows.</w:t>
      </w:r>
      <w:r w:rsidR="00E80DEE">
        <w:t xml:space="preserve"> The purpose of this dataset is to monitor </w:t>
      </w:r>
      <w:r w:rsidR="007A12AB">
        <w:t>how long patients wait before seeing each provider on average.</w:t>
      </w:r>
      <w:r w:rsidR="00056997">
        <w:t xml:space="preserve"> Care</w:t>
      </w:r>
      <w:r w:rsidR="00F7608B">
        <w:t>Set is a biomedical company so it was created by their analytical team</w:t>
      </w:r>
      <w:r w:rsidR="00FE36DE">
        <w:t xml:space="preserve"> for data analysis (</w:t>
      </w:r>
      <w:hyperlink r:id="rId9" w:history="1">
        <w:r w:rsidR="00FE36DE">
          <w:rPr>
            <w:rStyle w:val="Hyperlink"/>
          </w:rPr>
          <w:t>CareSet Dataset: DocGraph Hop Teaming Documentation - CareSet Systems</w:t>
        </w:r>
      </w:hyperlink>
      <w:r w:rsidR="00FE36DE">
        <w:t>).</w:t>
      </w:r>
    </w:p>
    <w:p w14:paraId="54EF1F75" w14:textId="2B980B04" w:rsidR="00E95AD7" w:rsidRPr="00DA2D75" w:rsidRDefault="00E95AD7" w:rsidP="00DA2D75">
      <w:r w:rsidRPr="00DA2D75">
        <w:t>Limitations:</w:t>
      </w:r>
    </w:p>
    <w:p w14:paraId="4DC29873" w14:textId="1C9B3686" w:rsidR="00472525" w:rsidRDefault="0037492F" w:rsidP="00E95AD7">
      <w:r>
        <w:rPr>
          <w:shd w:val="clear" w:color="auto" w:fill="FFFFFF"/>
        </w:rPr>
        <w:t xml:space="preserve">While the Referring Provider DMEPOS PUF has a wealth of information on payment and utilization for Medicare DMEPOS services, the dataset has </w:t>
      </w:r>
      <w:r w:rsidR="00D3214E">
        <w:rPr>
          <w:shd w:val="clear" w:color="auto" w:fill="FFFFFF"/>
        </w:rPr>
        <w:t>a few</w:t>
      </w:r>
      <w:r>
        <w:rPr>
          <w:shd w:val="clear" w:color="auto" w:fill="FFFFFF"/>
        </w:rPr>
        <w:t xml:space="preserve"> limitations. Of particular importance is the fact that the data may not be representative of a physician’s entire practice as it only includes information on Medicare fee-for-service beneficiaries. In addition, the data are not intended to indicate the quality of care provided and are not risk-adjusted to account for differences in underlying severity of disease of patient populations.</w:t>
      </w:r>
      <w:r w:rsidR="004027F4">
        <w:rPr>
          <w:shd w:val="clear" w:color="auto" w:fill="FFFFFF"/>
        </w:rPr>
        <w:t xml:space="preserve"> </w:t>
      </w:r>
      <w:r w:rsidR="004027F4">
        <w:t xml:space="preserve">the file does not include data for products or services that were performed on 10 or fewer claims, so users should be aware that summing the data in the file may underestimate the true Part B FFS DMEPOS totals that are ordered by the referring provider. Finally, if users try to link provider data (note: it is not possible to link by beneficiary) from this file to other public datasets, please be aware of the Medicare populations included and timeframes used in each file that will be merged. For example, efforts to link the Referring Provider DMEPOS PUF data to the Physician and Other Supplier PUF data would need to account for the fact that some providers (e.g., nurse practitioners/physician assistants) may refer DMEPOS products and services but may not necessarily render services as the performing NPI in the Physician and Other Supplier PUF. Also, efforts to link the Referring Provider DMEPOS PUF data to Part D prescription drug data would need to account for the fact that some beneficiaries who have FFS Part B coverage (and are thus included in the Referring Provider DMEPOS PUF) do not have Part D drug coverage (and thus not represented in Part D data files). At the same time, some beneficiaries that have Part D coverage (and are thus included in the Part D data) do not have FFS Part B coverage (and thus not included in the Referring Provider DMEPOS PUF). Another example would be linking to data constructed from different or non-aligning time periods, </w:t>
      </w:r>
      <w:r w:rsidR="00E95AD7">
        <w:t>such as publicly available data on physician referral patterns, which is based on an 18-month period.</w:t>
      </w:r>
    </w:p>
    <w:p w14:paraId="09877BBD" w14:textId="46DEDDEF" w:rsidR="001D3BD0" w:rsidRDefault="00736FEA" w:rsidP="00E95AD7">
      <w:r>
        <w:t>Ordering and Referring limitations include those wh</w:t>
      </w:r>
      <w:r w:rsidR="00BF7E34">
        <w:t xml:space="preserve">o may have legally opted out </w:t>
      </w:r>
      <w:r w:rsidR="00EF1DAD">
        <w:t>of Medicare</w:t>
      </w:r>
      <w:r w:rsidR="00FD4FDC">
        <w:t>.</w:t>
      </w:r>
    </w:p>
    <w:p w14:paraId="7D1F561D" w14:textId="1780C403" w:rsidR="0003026A" w:rsidRPr="0003026A" w:rsidRDefault="008306C1" w:rsidP="0003026A">
      <w:r>
        <w:rPr>
          <w:bdr w:val="none" w:sz="0" w:space="0" w:color="auto" w:frame="1"/>
        </w:rPr>
        <w:t xml:space="preserve">For </w:t>
      </w:r>
      <w:r w:rsidR="00C351F4">
        <w:rPr>
          <w:bdr w:val="none" w:sz="0" w:space="0" w:color="auto" w:frame="1"/>
        </w:rPr>
        <w:t xml:space="preserve">Doc Graph Hop </w:t>
      </w:r>
      <w:r w:rsidR="00CE235D">
        <w:rPr>
          <w:bdr w:val="none" w:sz="0" w:space="0" w:color="auto" w:frame="1"/>
        </w:rPr>
        <w:t>dataset,</w:t>
      </w:r>
      <w:r w:rsidR="00C351F4">
        <w:rPr>
          <w:bdr w:val="none" w:sz="0" w:space="0" w:color="auto" w:frame="1"/>
        </w:rPr>
        <w:t xml:space="preserve"> t</w:t>
      </w:r>
      <w:r w:rsidR="0003026A" w:rsidRPr="0003026A">
        <w:rPr>
          <w:bdr w:val="none" w:sz="0" w:space="0" w:color="auto" w:frame="1"/>
        </w:rPr>
        <w:t>he transaction data is impossible to interpret, especially when multiple providers are working with the same patient and approximately the same time. (like during hospital or SNF stays, or during long term therapy).</w:t>
      </w:r>
      <w:r>
        <w:rPr>
          <w:bdr w:val="none" w:sz="0" w:space="0" w:color="auto" w:frame="1"/>
        </w:rPr>
        <w:t xml:space="preserve"> </w:t>
      </w:r>
      <w:r w:rsidR="0003026A" w:rsidRPr="0003026A">
        <w:rPr>
          <w:bdr w:val="none" w:sz="0" w:space="0" w:color="auto" w:frame="1"/>
        </w:rPr>
        <w:t xml:space="preserve">The performance of the </w:t>
      </w:r>
      <w:r w:rsidR="0003026A" w:rsidRPr="0003026A">
        <w:rPr>
          <w:bdr w:val="none" w:sz="0" w:space="0" w:color="auto" w:frame="1"/>
        </w:rPr>
        <w:lastRenderedPageBreak/>
        <w:t>algorithm is poor and becomes exponentially worse as the number of NPIs and event dates increase.</w:t>
      </w:r>
      <w:r>
        <w:rPr>
          <w:bdr w:val="none" w:sz="0" w:space="0" w:color="auto" w:frame="1"/>
        </w:rPr>
        <w:t xml:space="preserve"> </w:t>
      </w:r>
      <w:r w:rsidR="0003026A" w:rsidRPr="0003026A">
        <w:rPr>
          <w:bdr w:val="none" w:sz="0" w:space="0" w:color="auto" w:frame="1"/>
        </w:rPr>
        <w:t>The sequencing of the sliding window data set requires multiple different versions of the dataset.</w:t>
      </w:r>
      <w:r w:rsidR="00840114">
        <w:rPr>
          <w:bdr w:val="none" w:sz="0" w:space="0" w:color="auto" w:frame="1"/>
        </w:rPr>
        <w:t xml:space="preserve"> Working with </w:t>
      </w:r>
      <w:r w:rsidR="00CE235D">
        <w:rPr>
          <w:bdr w:val="none" w:sz="0" w:space="0" w:color="auto" w:frame="1"/>
        </w:rPr>
        <w:t>exceptionally large</w:t>
      </w:r>
      <w:r w:rsidR="00840114">
        <w:rPr>
          <w:bdr w:val="none" w:sz="0" w:space="0" w:color="auto" w:frame="1"/>
        </w:rPr>
        <w:t xml:space="preserve"> datasets did make it difficult to pinpoint </w:t>
      </w:r>
      <w:r w:rsidR="00CE235D">
        <w:rPr>
          <w:bdr w:val="none" w:sz="0" w:space="0" w:color="auto" w:frame="1"/>
        </w:rPr>
        <w:t>key information small enough for a graph.</w:t>
      </w:r>
    </w:p>
    <w:p w14:paraId="6EF4F0E4" w14:textId="77777777" w:rsidR="0003026A" w:rsidRDefault="0003026A" w:rsidP="00E95AD7"/>
    <w:p w14:paraId="0E197496" w14:textId="5FAA92CE" w:rsidR="000D3229" w:rsidRPr="007F5090" w:rsidRDefault="000D3229" w:rsidP="00E95AD7">
      <w:pPr>
        <w:rPr>
          <w:i/>
          <w:iCs/>
          <w:u w:val="single"/>
          <w:shd w:val="clear" w:color="auto" w:fill="FFFFFF"/>
        </w:rPr>
      </w:pPr>
      <w:r w:rsidRPr="007F5090">
        <w:rPr>
          <w:i/>
          <w:iCs/>
          <w:u w:val="single"/>
        </w:rPr>
        <w:t xml:space="preserve">Range of </w:t>
      </w:r>
      <w:r w:rsidR="007F5090" w:rsidRPr="007F5090">
        <w:rPr>
          <w:i/>
          <w:iCs/>
          <w:u w:val="single"/>
        </w:rPr>
        <w:t>values for major variables:</w:t>
      </w:r>
    </w:p>
    <w:p w14:paraId="33EEBC39" w14:textId="7D896E80" w:rsidR="00CA787F" w:rsidRDefault="001E4E43" w:rsidP="00D3214E">
      <w:pPr>
        <w:spacing w:line="240" w:lineRule="auto"/>
      </w:pPr>
      <w:r>
        <w:t xml:space="preserve">Number_of_suppliers – Can range from 1 to </w:t>
      </w:r>
      <w:r w:rsidR="00CA787F">
        <w:t>tens of thousands.</w:t>
      </w:r>
    </w:p>
    <w:p w14:paraId="1C61162B" w14:textId="0149CE00" w:rsidR="00CA787F" w:rsidRDefault="00CA787F" w:rsidP="00D3214E">
      <w:pPr>
        <w:spacing w:line="240" w:lineRule="auto"/>
      </w:pPr>
      <w:r>
        <w:t>Numbe</w:t>
      </w:r>
      <w:r w:rsidR="005246C4">
        <w:t>r</w:t>
      </w:r>
      <w:r>
        <w:t>_</w:t>
      </w:r>
      <w:r w:rsidR="006951D8">
        <w:t>of_suppliers_beneficiaries – Can range from 0 to tens of thousands.</w:t>
      </w:r>
    </w:p>
    <w:p w14:paraId="267F50E6" w14:textId="0BDFB79C" w:rsidR="006951D8" w:rsidRDefault="005246C4" w:rsidP="00D3214E">
      <w:pPr>
        <w:spacing w:line="240" w:lineRule="auto"/>
      </w:pPr>
      <w:r>
        <w:t xml:space="preserve">Number_of_supplier_claims </w:t>
      </w:r>
      <w:r w:rsidR="003924A0">
        <w:t>–</w:t>
      </w:r>
      <w:r>
        <w:t xml:space="preserve"> </w:t>
      </w:r>
      <w:r w:rsidR="003924A0">
        <w:t>Can range from 0 to hundreds of thousands.</w:t>
      </w:r>
    </w:p>
    <w:p w14:paraId="20939C1D" w14:textId="68797847" w:rsidR="003924A0" w:rsidRDefault="00C819D5" w:rsidP="00D3214E">
      <w:pPr>
        <w:spacing w:line="240" w:lineRule="auto"/>
      </w:pPr>
      <w:r>
        <w:t xml:space="preserve">Number_of_supplier_services </w:t>
      </w:r>
      <w:r w:rsidR="002B0235">
        <w:t>–</w:t>
      </w:r>
      <w:r>
        <w:t xml:space="preserve"> </w:t>
      </w:r>
      <w:r w:rsidR="002B0235">
        <w:t>Can range from 0 to hundreds of thousands.</w:t>
      </w:r>
    </w:p>
    <w:p w14:paraId="17082B70" w14:textId="2C21BCE3" w:rsidR="00FD4FDC" w:rsidRDefault="00806CB6" w:rsidP="00D3214E">
      <w:pPr>
        <w:spacing w:line="240" w:lineRule="auto"/>
      </w:pPr>
      <w:r>
        <w:t>DM</w:t>
      </w:r>
      <w:r w:rsidR="008437AB">
        <w:t xml:space="preserve">E, PART B, HHA, PMD – Are True or False Booleans </w:t>
      </w:r>
      <w:r w:rsidR="00BD6564">
        <w:t>“</w:t>
      </w:r>
      <w:r w:rsidR="008437AB">
        <w:t xml:space="preserve">1 or </w:t>
      </w:r>
      <w:r w:rsidR="00A97B79">
        <w:t>0</w:t>
      </w:r>
      <w:r w:rsidR="00BD6564">
        <w:t>”.</w:t>
      </w:r>
    </w:p>
    <w:p w14:paraId="1BAA2251" w14:textId="50B9CD61" w:rsidR="002B0235" w:rsidRDefault="002B0235" w:rsidP="00D3214E">
      <w:pPr>
        <w:spacing w:line="240" w:lineRule="auto"/>
      </w:pPr>
      <w:r>
        <w:t>Avg_</w:t>
      </w:r>
      <w:r w:rsidR="00B13AC1">
        <w:t>supplier_submitted_charge and Avg_supplier_allow_amount</w:t>
      </w:r>
      <w:r w:rsidR="00D75958">
        <w:t xml:space="preserve"> – Can range from 0 to the millions in dollar amount.</w:t>
      </w:r>
    </w:p>
    <w:p w14:paraId="0308E97E" w14:textId="42A8AC7C" w:rsidR="00A4063C" w:rsidRDefault="00203D84" w:rsidP="00D3214E">
      <w:pPr>
        <w:spacing w:line="240" w:lineRule="auto"/>
      </w:pPr>
      <w:r>
        <w:t xml:space="preserve">Patient_Count </w:t>
      </w:r>
      <w:r w:rsidR="000A308C">
        <w:t>–</w:t>
      </w:r>
      <w:r>
        <w:t xml:space="preserve"> </w:t>
      </w:r>
      <w:r w:rsidR="000A308C">
        <w:t>From 0 to the 100s</w:t>
      </w:r>
      <w:r w:rsidR="00414E9B">
        <w:t>, it varies.</w:t>
      </w:r>
    </w:p>
    <w:p w14:paraId="3ECFBD94" w14:textId="63F94A34" w:rsidR="00414E9B" w:rsidRDefault="00CD676B" w:rsidP="00D3214E">
      <w:pPr>
        <w:spacing w:line="240" w:lineRule="auto"/>
      </w:pPr>
      <w:r>
        <w:t xml:space="preserve">Average_Day_Wait – From 0 </w:t>
      </w:r>
      <w:r w:rsidR="005245CD">
        <w:t>to hundreds of days before seeing the other provider.</w:t>
      </w:r>
    </w:p>
    <w:p w14:paraId="6DA08887" w14:textId="6D886868" w:rsidR="000A14CE" w:rsidRPr="00351F71" w:rsidRDefault="000A14CE" w:rsidP="00351F71">
      <w:pPr>
        <w:pStyle w:val="Heading3"/>
      </w:pPr>
      <w:bookmarkStart w:id="2" w:name="_Toc69143832"/>
      <w:r>
        <w:t>APPENDIX 1</w:t>
      </w:r>
      <w:r w:rsidR="00320528">
        <w:t>:</w:t>
      </w:r>
      <w:bookmarkEnd w:id="2"/>
    </w:p>
    <w:p w14:paraId="0B2903F9" w14:textId="59C0BEFA" w:rsidR="00472525" w:rsidRDefault="004A7FF7" w:rsidP="004A7FF7">
      <w:r>
        <w:t xml:space="preserve">Refer </w:t>
      </w:r>
      <w:r w:rsidR="005F349A">
        <w:t xml:space="preserve">for complete data </w:t>
      </w:r>
      <w:r w:rsidR="006F5123">
        <w:t>dictionary.</w:t>
      </w:r>
    </w:p>
    <w:p w14:paraId="05D7E54E" w14:textId="6058673F" w:rsidR="005F349A" w:rsidRDefault="00317DAD" w:rsidP="00317DAD">
      <w:pPr>
        <w:pStyle w:val="Heading3"/>
      </w:pPr>
      <w:bookmarkStart w:id="3" w:name="_Toc69143833"/>
      <w:r>
        <w:t>APPENDIX 2:</w:t>
      </w:r>
      <w:bookmarkEnd w:id="3"/>
    </w:p>
    <w:p w14:paraId="3A7DD379" w14:textId="60AE1227" w:rsidR="00317DAD" w:rsidRDefault="00317DAD" w:rsidP="00317DAD">
      <w:r>
        <w:t xml:space="preserve">Refer for </w:t>
      </w:r>
      <w:r w:rsidR="006F5123">
        <w:t>documentation of the data cleaning process.</w:t>
      </w:r>
    </w:p>
    <w:p w14:paraId="10FB4274" w14:textId="15D846F4" w:rsidR="009A082A" w:rsidRDefault="009A082A" w:rsidP="009A082A">
      <w:pPr>
        <w:pStyle w:val="NoSpacing"/>
      </w:pPr>
      <w:r>
        <w:t>Analysis and Results</w:t>
      </w:r>
    </w:p>
    <w:p w14:paraId="2526AA40" w14:textId="6AA8FECF" w:rsidR="009A082A" w:rsidRDefault="009A082A" w:rsidP="009A082A"/>
    <w:p w14:paraId="70444268" w14:textId="69F167EB" w:rsidR="006F3365" w:rsidRDefault="00A51859" w:rsidP="009A082A">
      <w:r>
        <w:t>F</w:t>
      </w:r>
      <w:r w:rsidR="00BF4DDB">
        <w:t xml:space="preserve">irst slide: </w:t>
      </w:r>
      <w:r w:rsidR="005E434A">
        <w:t xml:space="preserve">The first question I asked after </w:t>
      </w:r>
      <w:r w:rsidR="00173C02">
        <w:t xml:space="preserve">looking at the data </w:t>
      </w:r>
      <w:r w:rsidR="00F804BA">
        <w:t>was</w:t>
      </w:r>
      <w:r w:rsidR="00173C02">
        <w:t xml:space="preserve"> to look at when </w:t>
      </w:r>
      <w:r w:rsidR="00F804BA">
        <w:t xml:space="preserve">there </w:t>
      </w:r>
      <w:r w:rsidR="00E21CD1">
        <w:t>are</w:t>
      </w:r>
      <w:r w:rsidR="00173C02">
        <w:t xml:space="preserve"> no beneficiaries</w:t>
      </w:r>
      <w:r w:rsidR="00A3396A">
        <w:t xml:space="preserve"> that the supplier is providing product to, who is receiving </w:t>
      </w:r>
      <w:r w:rsidR="00D64337">
        <w:t xml:space="preserve">the most supplies? I understand that providers will receive some supplies without the need of clients, but the numbers were </w:t>
      </w:r>
      <w:r w:rsidR="00F804BA">
        <w:t>large</w:t>
      </w:r>
      <w:r w:rsidR="001B5438">
        <w:t xml:space="preserve"> for two </w:t>
      </w:r>
      <w:r w:rsidR="00F6324A">
        <w:t>of the providers.</w:t>
      </w:r>
      <w:r w:rsidR="006D6348">
        <w:t xml:space="preserve"> I looked at the H</w:t>
      </w:r>
      <w:r w:rsidR="008D5DD5">
        <w:t>CPCS</w:t>
      </w:r>
      <w:r w:rsidR="00E37E27">
        <w:t xml:space="preserve"> </w:t>
      </w:r>
      <w:r w:rsidR="008D5DD5">
        <w:t>CODE</w:t>
      </w:r>
      <w:r w:rsidR="00E37E27">
        <w:t xml:space="preserve"> and HC</w:t>
      </w:r>
      <w:r w:rsidR="008D5DD5">
        <w:t>PCS_DESCRIPTION</w:t>
      </w:r>
      <w:r w:rsidR="00A23F61">
        <w:t xml:space="preserve"> vs the NUMBER_OF_SUPPLIER_CLAIMS</w:t>
      </w:r>
      <w:r w:rsidR="007B0900">
        <w:t xml:space="preserve"> to identify </w:t>
      </w:r>
      <w:r w:rsidR="00E21CD1">
        <w:t>the items being claimed the most without beneficiaries.</w:t>
      </w:r>
    </w:p>
    <w:p w14:paraId="6D2C89EB" w14:textId="23913122" w:rsidR="002046CD" w:rsidRDefault="002046CD" w:rsidP="009A082A">
      <w:r>
        <w:t>Second slide:</w:t>
      </w:r>
      <w:r w:rsidR="00587942">
        <w:t xml:space="preserve"> A few questions I asked here were is there an opportunity for </w:t>
      </w:r>
      <w:r w:rsidR="002B431B">
        <w:t xml:space="preserve">another company to come in and </w:t>
      </w:r>
      <w:r w:rsidR="003A1471">
        <w:t>take some of that business from the doctors</w:t>
      </w:r>
      <w:r w:rsidR="009C79C4">
        <w:t xml:space="preserve"> with few suppliers? The </w:t>
      </w:r>
      <w:r w:rsidR="00D42A5E">
        <w:t>AVG_SUPPLIER_SUBMITTED_CHARGE is much higher</w:t>
      </w:r>
      <w:r w:rsidR="00F93EDA">
        <w:t xml:space="preserve"> than the payment amount from Medicare. Who pays the rest?</w:t>
      </w:r>
    </w:p>
    <w:p w14:paraId="1416A1D2" w14:textId="48B89BBE" w:rsidR="00BC6D66" w:rsidRDefault="00BC6D66" w:rsidP="009A082A">
      <w:r>
        <w:t xml:space="preserve">I looked at NUMBER_OF_SUPPLIERS that were at a </w:t>
      </w:r>
      <w:r w:rsidR="0090286F">
        <w:t xml:space="preserve">minimum for providers that have a lot of business. </w:t>
      </w:r>
      <w:r w:rsidR="00DF646D">
        <w:t>Also, looked at the AVG_</w:t>
      </w:r>
      <w:r w:rsidR="00897381">
        <w:t>SUPPLIER_SUBMITTED_CHARGE and AVG_SUPPLIER_MEDICARE_PMT_AMT</w:t>
      </w:r>
      <w:r w:rsidR="00D22103">
        <w:t xml:space="preserve"> to see if there were any outliers.</w:t>
      </w:r>
    </w:p>
    <w:p w14:paraId="69BDD50D" w14:textId="6F3FA75D" w:rsidR="00D22103" w:rsidRDefault="00D22103" w:rsidP="009A082A">
      <w:r>
        <w:t>Third slide:</w:t>
      </w:r>
      <w:r w:rsidR="009C7ED5">
        <w:t xml:space="preserve"> </w:t>
      </w:r>
      <w:r w:rsidR="00C22351">
        <w:t xml:space="preserve">Here are some doctors missing some referring </w:t>
      </w:r>
      <w:r w:rsidR="00550B38">
        <w:t>credentials but</w:t>
      </w:r>
      <w:r w:rsidR="0048294D">
        <w:t xml:space="preserve"> are </w:t>
      </w:r>
      <w:r w:rsidR="009D6EA3">
        <w:t xml:space="preserve">requesting a large </w:t>
      </w:r>
      <w:r w:rsidR="00E5664F">
        <w:t>NUMBER_OF_SUPPLIER_SERVICES</w:t>
      </w:r>
      <w:r w:rsidR="00B92E79">
        <w:t>. They could have permission to do so, but it would be worth examining further</w:t>
      </w:r>
      <w:r w:rsidR="00EB4CCD">
        <w:t xml:space="preserve"> to see why they are</w:t>
      </w:r>
      <w:r w:rsidR="00550B38">
        <w:t xml:space="preserve"> using many supplier services.</w:t>
      </w:r>
      <w:r w:rsidR="002D7C7D">
        <w:t xml:space="preserve"> Are they truly M.D. or D.O. or</w:t>
      </w:r>
      <w:r w:rsidR="00E24EB1">
        <w:t xml:space="preserve"> whatever is needed for all these services from their suppliers?</w:t>
      </w:r>
    </w:p>
    <w:p w14:paraId="6FDBFD4D" w14:textId="1763FF22" w:rsidR="00B9699C" w:rsidRDefault="00B9699C" w:rsidP="009A082A">
      <w:r>
        <w:lastRenderedPageBreak/>
        <w:t xml:space="preserve">Fourth slide: </w:t>
      </w:r>
      <w:r w:rsidR="000D6653">
        <w:t>Looked at providers who do offer HHA</w:t>
      </w:r>
      <w:r w:rsidR="00395A6F">
        <w:t xml:space="preserve"> and Part B vs those providers who </w:t>
      </w:r>
      <w:r w:rsidR="00816FAE">
        <w:t>do not</w:t>
      </w:r>
      <w:r w:rsidR="00395A6F">
        <w:t xml:space="preserve"> offer those. I assumed that those who accepted </w:t>
      </w:r>
      <w:proofErr w:type="gramStart"/>
      <w:r w:rsidR="00395A6F">
        <w:t>HHA</w:t>
      </w:r>
      <w:proofErr w:type="gramEnd"/>
      <w:r w:rsidR="00395A6F">
        <w:t xml:space="preserve"> and Part B would </w:t>
      </w:r>
      <w:r w:rsidR="00816FAE">
        <w:t>offer better and faster service to their clients.</w:t>
      </w:r>
      <w:r w:rsidR="0090225D">
        <w:t xml:space="preserve"> I analyzed the </w:t>
      </w:r>
      <w:r w:rsidR="00A17BD4">
        <w:t>AVG_DAY_WAIT</w:t>
      </w:r>
      <w:r w:rsidR="000042F8">
        <w:t xml:space="preserve"> </w:t>
      </w:r>
      <w:r w:rsidR="002155E1">
        <w:t>based on whether they offered HHA, PART B, DME, PMD</w:t>
      </w:r>
      <w:r w:rsidR="00197A0D">
        <w:t xml:space="preserve"> or </w:t>
      </w:r>
      <w:r w:rsidR="00CB3FA9">
        <w:t>did not</w:t>
      </w:r>
      <w:r w:rsidR="00197A0D">
        <w:t xml:space="preserve"> offer HHA and PART B.</w:t>
      </w:r>
    </w:p>
    <w:p w14:paraId="1B09D347" w14:textId="046C4608" w:rsidR="00197A0D" w:rsidRDefault="00FC6C88" w:rsidP="00FC6C88">
      <w:pPr>
        <w:pStyle w:val="NoSpacing"/>
      </w:pPr>
      <w:r>
        <w:t>Discussion</w:t>
      </w:r>
    </w:p>
    <w:p w14:paraId="48C75282" w14:textId="21B52882" w:rsidR="00FC6C88" w:rsidRDefault="00FC6C88" w:rsidP="00FC6C88">
      <w:pPr>
        <w:pStyle w:val="NoSpacing"/>
      </w:pPr>
    </w:p>
    <w:p w14:paraId="3DDFD08E" w14:textId="165341F4" w:rsidR="00FC6C88" w:rsidRDefault="00CB3FA9" w:rsidP="00FC6C88">
      <w:r>
        <w:t xml:space="preserve">First slide: </w:t>
      </w:r>
      <w:r w:rsidR="001571D4">
        <w:t xml:space="preserve">Albuterol Inhalation Solution </w:t>
      </w:r>
      <w:r w:rsidR="009779BD">
        <w:t>has 437.7K supplier claims</w:t>
      </w:r>
      <w:r w:rsidR="007074D5">
        <w:t>, it is used to prevent and treat difficulty breathing.</w:t>
      </w:r>
      <w:r w:rsidR="00224E4C">
        <w:t xml:space="preserve"> Most inhalers are safe to use up to one year after expiration date accorder to </w:t>
      </w:r>
      <w:r w:rsidR="003128DD">
        <w:t>(healthline.com) but these are a lot of them</w:t>
      </w:r>
      <w:r w:rsidR="00634567">
        <w:t>. Someone could follow up by checking what the provider is doing with all the inhalers</w:t>
      </w:r>
      <w:r w:rsidR="00534AF5">
        <w:t xml:space="preserve"> and if they are allowing them to expire, and where are they being sold</w:t>
      </w:r>
      <w:r w:rsidR="003C2C5D">
        <w:t>.</w:t>
      </w:r>
    </w:p>
    <w:p w14:paraId="765F0452" w14:textId="2363871C" w:rsidR="0028463D" w:rsidRDefault="0028463D" w:rsidP="00FC6C88">
      <w:r>
        <w:t xml:space="preserve">Second slide: </w:t>
      </w:r>
      <w:r w:rsidR="00C728FF">
        <w:t>The results show with so few suppliers for Dr. Patel and Dr. Johnson</w:t>
      </w:r>
      <w:r w:rsidR="00D06783">
        <w:t xml:space="preserve">, there could be opportunity for another supplier to offer a lower price and </w:t>
      </w:r>
      <w:r w:rsidR="00B878A3">
        <w:t xml:space="preserve">win some of their business. </w:t>
      </w:r>
      <w:r w:rsidR="002A24A3">
        <w:t>There is</w:t>
      </w:r>
      <w:r w:rsidR="0034133A">
        <w:t xml:space="preserve"> </w:t>
      </w:r>
      <w:r w:rsidR="00473A2B">
        <w:t xml:space="preserve">only a small number of suppliers who are charging a large amount </w:t>
      </w:r>
      <w:r w:rsidR="002A24A3">
        <w:t>to the providers.</w:t>
      </w:r>
      <w:r w:rsidR="0010013B">
        <w:t xml:space="preserve"> The follow up here could be further research to see if </w:t>
      </w:r>
      <w:r w:rsidR="00534AF5">
        <w:t>there is</w:t>
      </w:r>
      <w:r w:rsidR="0010013B">
        <w:t xml:space="preserve"> an opportunity </w:t>
      </w:r>
      <w:r w:rsidR="00BD2018">
        <w:t>for another supplier or is it just more expensive.</w:t>
      </w:r>
    </w:p>
    <w:p w14:paraId="5252D6B1" w14:textId="3B1CF6A2" w:rsidR="002A24A3" w:rsidRDefault="002A24A3" w:rsidP="00FC6C88">
      <w:r>
        <w:t xml:space="preserve">Third slide: </w:t>
      </w:r>
      <w:r w:rsidR="004C0584">
        <w:t xml:space="preserve">The data </w:t>
      </w:r>
      <w:r w:rsidR="00E24EB1">
        <w:t>does not</w:t>
      </w:r>
      <w:r w:rsidR="004C0584">
        <w:t xml:space="preserve"> provide if these doctors </w:t>
      </w:r>
      <w:r w:rsidR="002640FD">
        <w:t xml:space="preserve">are exempted from having proper credentials, but it is a possibility that </w:t>
      </w:r>
      <w:r w:rsidR="00A812DD">
        <w:t xml:space="preserve">they are getting supplies they are not authorized to have based on </w:t>
      </w:r>
      <w:r w:rsidR="002D7C7D">
        <w:t>REFERRING_CREDENTIALS.</w:t>
      </w:r>
      <w:r w:rsidR="006961CC">
        <w:t xml:space="preserve"> The NPI would need to be verified </w:t>
      </w:r>
      <w:r w:rsidR="008D28D5">
        <w:t>one-by-one to see if these doctors could legit order all these supplies based on the item they are ordering</w:t>
      </w:r>
      <w:r w:rsidR="00EC4CEF">
        <w:t>.</w:t>
      </w:r>
    </w:p>
    <w:p w14:paraId="663B1003" w14:textId="3C2A1DBB" w:rsidR="00E24EB1" w:rsidRDefault="008A3E25" w:rsidP="00FC6C88">
      <w:r>
        <w:t xml:space="preserve">Fourth slide: </w:t>
      </w:r>
      <w:r w:rsidR="008B1E41">
        <w:t xml:space="preserve">The average amount of days clients wait between providers </w:t>
      </w:r>
      <w:r w:rsidR="00CB4629">
        <w:t xml:space="preserve">is not that much different which surprised me. </w:t>
      </w:r>
      <w:r w:rsidR="005545ED">
        <w:t>The average for non-HHA and PART B clients is 54.19 days</w:t>
      </w:r>
      <w:r w:rsidR="00C922CD">
        <w:t>, while providers that offer HHA, PART B, DME, and PMD has an average of 53.26 days</w:t>
      </w:r>
      <w:r w:rsidR="00EC5FFE">
        <w:t xml:space="preserve"> just looking at the top 10. Th</w:t>
      </w:r>
      <w:r w:rsidR="002F724C">
        <w:t>ere needs to be improvement here, so someone could follow up on how to reduce the average client wait times.</w:t>
      </w:r>
    </w:p>
    <w:p w14:paraId="36C35D3C" w14:textId="4086EE2C" w:rsidR="009C5DA1" w:rsidRDefault="009C5DA1" w:rsidP="009C5DA1">
      <w:pPr>
        <w:pStyle w:val="NoSpacing"/>
      </w:pPr>
      <w:r>
        <w:t>Conclusion</w:t>
      </w:r>
    </w:p>
    <w:p w14:paraId="136BD758" w14:textId="2B30F7C7" w:rsidR="009C5DA1" w:rsidRDefault="009C5DA1" w:rsidP="009C5DA1">
      <w:pPr>
        <w:pStyle w:val="NoSpacing"/>
      </w:pPr>
    </w:p>
    <w:p w14:paraId="369A9E8F" w14:textId="67300802" w:rsidR="005A6606" w:rsidRDefault="005A6606" w:rsidP="00B101BF">
      <w:pPr>
        <w:spacing w:line="240" w:lineRule="auto"/>
      </w:pPr>
      <w:r>
        <w:t xml:space="preserve">The 2018 Referring Durable Medical Equipment, Prosthetics, Orthotics and Supplies (DMEPOS) file presents information on DMEPOS products and services provided to Medicare beneficiaries ordered by physicians and other healthcare professionals. The Referring Provider DMEPOS contains data on utilization, payment, and submitted charges organized by National Provider Identifier (NPI), Healthcare Common Procedure Coding System (HCPCS) code and BETOS Classification, which is items, drugs, products, and wheelchairs offered. Number </w:t>
      </w:r>
      <w:proofErr w:type="gramStart"/>
      <w:r>
        <w:t>Of</w:t>
      </w:r>
      <w:proofErr w:type="gramEnd"/>
      <w:r>
        <w:t xml:space="preserve"> Suppliers (how many suppliers each healthcare professional or clinic has), Number Of Supplier Beneficiaries (number of beneficiaries associated with the supplier DMEPOS products/services ordered by the referring provider), Number Of Supplier Claims (number of DMEPOS claims submitted by the supplier, reflecting products/services ordered by the referring provider), and Number Of Supplier Services (number of DMEPOS products/services rendered by the supplier). </w:t>
      </w:r>
      <w:r w:rsidR="00E44BA8">
        <w:t xml:space="preserve">The data source is </w:t>
      </w:r>
      <w:r w:rsidR="00245DE6">
        <w:t xml:space="preserve">(Data.CMS.gov) created by </w:t>
      </w:r>
      <w:r w:rsidR="002A09DE">
        <w:t>(</w:t>
      </w:r>
      <w:hyperlink r:id="rId10" w:history="1">
        <w:r w:rsidR="003958AC" w:rsidRPr="00036E9F">
          <w:rPr>
            <w:rStyle w:val="Hyperlink"/>
          </w:rPr>
          <w:t>medicareproviderdata@cms.hhs.gov</w:t>
        </w:r>
      </w:hyperlink>
      <w:r w:rsidR="002A09DE">
        <w:t>)</w:t>
      </w:r>
      <w:r w:rsidR="00906AF2">
        <w:t>. This dataset provided insight into the number</w:t>
      </w:r>
      <w:r w:rsidR="00633B91">
        <w:t xml:space="preserve"> of supplier claims, services, beneficiaries, and number of suppliers. </w:t>
      </w:r>
      <w:r w:rsidR="00716877">
        <w:t xml:space="preserve">It provided the HCPCS codes and descriptions to see what the providers </w:t>
      </w:r>
      <w:r w:rsidR="003C30A4">
        <w:t xml:space="preserve">are purchasing in each location. </w:t>
      </w:r>
      <w:r w:rsidR="00730F3C">
        <w:t xml:space="preserve">The dataset gave insight into average supplier </w:t>
      </w:r>
      <w:r w:rsidR="00ED6491">
        <w:t xml:space="preserve">submitted charges, amount </w:t>
      </w:r>
      <w:r w:rsidR="00327DB4">
        <w:t>Medicare</w:t>
      </w:r>
      <w:r w:rsidR="00ED6491">
        <w:t xml:space="preserve"> pays and </w:t>
      </w:r>
      <w:r w:rsidR="00327DB4">
        <w:t xml:space="preserve">the average amount the supplier </w:t>
      </w:r>
      <w:r w:rsidR="00884D95">
        <w:t>can</w:t>
      </w:r>
      <w:r w:rsidR="00327DB4">
        <w:t xml:space="preserve"> charge.</w:t>
      </w:r>
    </w:p>
    <w:p w14:paraId="38F40EE6" w14:textId="1667112B" w:rsidR="000B0EDD" w:rsidRDefault="005A6606" w:rsidP="005A6606">
      <w:pPr>
        <w:spacing w:line="240" w:lineRule="auto"/>
      </w:pPr>
      <w:r>
        <w:t xml:space="preserve">Datasets of Doc Graph Hop Teaming Documentation and Ordering and Referring References have been combined by “INNER JOIN” function to create one dataset. The Doc Graph Hop </w:t>
      </w:r>
      <w:r>
        <w:lastRenderedPageBreak/>
        <w:t xml:space="preserve">Teaming data structure uses the average amount of days a patient waits till they are seen from one NPI (medical provider) to another in sequence. It also provides the number of patients between the providers and number of transactions from one provider to another. (CareSet Dataset.com, 2019). </w:t>
      </w:r>
      <w:r w:rsidR="00884D95">
        <w:t xml:space="preserve">The high number of </w:t>
      </w:r>
      <w:r w:rsidR="00DF5B9C">
        <w:t>average days clients wait is much longer than I imagined and should be monitored more closely for the well-being of the older generation.</w:t>
      </w:r>
    </w:p>
    <w:p w14:paraId="64C1A2D9" w14:textId="5FE99231" w:rsidR="005A6606" w:rsidRDefault="005A6606" w:rsidP="005A6606">
      <w:pPr>
        <w:spacing w:line="240" w:lineRule="auto"/>
      </w:pPr>
      <w:r>
        <w:t>The Ordering and Referring Reference provides CMS regulations that require physicians or other eligible professionals to be enrolled or validly opted-out of the Medicare Program to order and refer items or services for Medicare beneficiaries. It uses the NPI number to verify whether a provider offers PART B, DME, HHA, and PMD coverage to Medicare clients.</w:t>
      </w:r>
      <w:r w:rsidR="00E243BB">
        <w:t xml:space="preserve"> The </w:t>
      </w:r>
      <w:r w:rsidR="00017893">
        <w:t xml:space="preserve">fact that some providers do not offer PART B </w:t>
      </w:r>
      <w:r w:rsidR="00F62CBF">
        <w:t>is something that needs to be corrected as a lot of senior citizens depend on Medicare for their health. Healthcare costs continue to rise</w:t>
      </w:r>
      <w:r w:rsidR="001205BC">
        <w:t>, and you start to wonder if free healthcare-for-all</w:t>
      </w:r>
      <w:r w:rsidR="00007BE3">
        <w:t xml:space="preserve"> </w:t>
      </w:r>
      <w:proofErr w:type="gramStart"/>
      <w:r w:rsidR="00007BE3">
        <w:t>is something</w:t>
      </w:r>
      <w:proofErr w:type="gramEnd"/>
      <w:r w:rsidR="00007BE3">
        <w:t xml:space="preserve"> the US should consider.</w:t>
      </w:r>
    </w:p>
    <w:p w14:paraId="739142EF" w14:textId="77777777" w:rsidR="005A6606" w:rsidRDefault="005A6606" w:rsidP="005A6606">
      <w:pPr>
        <w:spacing w:line="240" w:lineRule="auto"/>
      </w:pPr>
      <w:r>
        <w:t>PART B: Is medical insurance and covers expenses like doctor appointments, laboratory tests and X-rays for patients.</w:t>
      </w:r>
    </w:p>
    <w:p w14:paraId="26C1BE71" w14:textId="77777777" w:rsidR="005A6606" w:rsidRDefault="005A6606" w:rsidP="005A6606">
      <w:pPr>
        <w:spacing w:line="240" w:lineRule="auto"/>
      </w:pPr>
      <w:r>
        <w:t>DME or (Durable Medical Equipment): Refers to equipment needed for use in the home, such as, blood sugar meters, canes, commode chairs, walkers, wheelchairs/scooters, hospital beds, crutches, patient lifts etc.…</w:t>
      </w:r>
    </w:p>
    <w:p w14:paraId="71B3B304" w14:textId="77777777" w:rsidR="005A6606" w:rsidRDefault="005A6606" w:rsidP="005A6606">
      <w:pPr>
        <w:spacing w:line="240" w:lineRule="auto"/>
      </w:pPr>
      <w:r>
        <w:t>HHA or (Home Health Aides): Provide personal care to elderly adults with daily tasks such as bathing, getting dressed, preparing meals, eating, and hygiene needs. HHAs require certification by the state.</w:t>
      </w:r>
    </w:p>
    <w:p w14:paraId="15E7829D" w14:textId="5C6BD4EE" w:rsidR="005A6606" w:rsidRDefault="005A6606" w:rsidP="005A6606">
      <w:pPr>
        <w:spacing w:line="240" w:lineRule="auto"/>
      </w:pPr>
      <w:r>
        <w:t>PMD or (Power Mobility Devices): Are covered under DME and are power operated vehicles which are power wheelchairs and scooters.</w:t>
      </w:r>
    </w:p>
    <w:p w14:paraId="2FD48A06" w14:textId="6BBCB323" w:rsidR="003D547F" w:rsidRDefault="003D547F" w:rsidP="005A6606">
      <w:pPr>
        <w:spacing w:line="240" w:lineRule="auto"/>
      </w:pPr>
    </w:p>
    <w:p w14:paraId="41312B51" w14:textId="1B38BEDB" w:rsidR="00223041" w:rsidRDefault="003D7BC1" w:rsidP="003D7BC1">
      <w:pPr>
        <w:pStyle w:val="NoSpacing"/>
      </w:pPr>
      <w:r>
        <w:t>References</w:t>
      </w:r>
    </w:p>
    <w:p w14:paraId="6AFEA3FC" w14:textId="45E5DEE0" w:rsidR="003D7BC1" w:rsidRDefault="003D7BC1" w:rsidP="003D7BC1">
      <w:pPr>
        <w:pStyle w:val="NoSpacing"/>
      </w:pPr>
    </w:p>
    <w:p w14:paraId="72C1C068" w14:textId="42989BD4" w:rsidR="00A56D5E" w:rsidRPr="00816BAC" w:rsidRDefault="00A56D5E" w:rsidP="004564AF">
      <w:proofErr w:type="spellStart"/>
      <w:r w:rsidRPr="00816BAC">
        <w:t>Cms</w:t>
      </w:r>
      <w:proofErr w:type="spellEnd"/>
      <w:r w:rsidRPr="00816BAC">
        <w:t xml:space="preserve">. “Provider Information for 1811989445.” </w:t>
      </w:r>
      <w:r w:rsidRPr="00816BAC">
        <w:rPr>
          <w:i/>
          <w:iCs/>
        </w:rPr>
        <w:t>NPPES NPI Registry</w:t>
      </w:r>
      <w:r w:rsidRPr="00816BAC">
        <w:t xml:space="preserve">, npiregistry.cms.hhs.gov/registry/provider-view/1811989445. </w:t>
      </w:r>
    </w:p>
    <w:p w14:paraId="1B3DC755" w14:textId="77777777" w:rsidR="005076A7" w:rsidRPr="00816BAC" w:rsidRDefault="005076A7" w:rsidP="004564AF">
      <w:r w:rsidRPr="00816BAC">
        <w:t xml:space="preserve">“Physician </w:t>
      </w:r>
      <w:proofErr w:type="spellStart"/>
      <w:r w:rsidRPr="00816BAC">
        <w:t>Self Referral</w:t>
      </w:r>
      <w:proofErr w:type="spellEnd"/>
      <w:r w:rsidRPr="00816BAC">
        <w:t xml:space="preserve">.” </w:t>
      </w:r>
      <w:r w:rsidRPr="00816BAC">
        <w:rPr>
          <w:i/>
          <w:iCs/>
        </w:rPr>
        <w:t>CMS</w:t>
      </w:r>
      <w:r w:rsidRPr="00816BAC">
        <w:t xml:space="preserve">, www.cms.gov/Medicare/Fraud-and-Abuse/PhysicianSelfReferral. </w:t>
      </w:r>
    </w:p>
    <w:p w14:paraId="4305416F" w14:textId="47E08E75" w:rsidR="002127D3" w:rsidRPr="00816BAC" w:rsidRDefault="002127D3" w:rsidP="004564AF">
      <w:pPr>
        <w:rPr>
          <w:rFonts w:ascii="Arial" w:hAnsi="Arial" w:cs="Arial"/>
          <w:caps/>
          <w:sz w:val="21"/>
          <w:szCs w:val="21"/>
        </w:rPr>
      </w:pPr>
      <w:r w:rsidRPr="00816BAC">
        <w:rPr>
          <w:rFonts w:ascii="Arial" w:hAnsi="Arial" w:cs="Arial"/>
          <w:caps/>
          <w:sz w:val="21"/>
          <w:szCs w:val="21"/>
        </w:rPr>
        <w:t>MEDICAID DATA SOURCES - GENERAL INFORMATION | CMS</w:t>
      </w:r>
    </w:p>
    <w:p w14:paraId="3BAC1977" w14:textId="04BB5955" w:rsidR="002127D3" w:rsidRPr="00816BAC" w:rsidRDefault="002127D3" w:rsidP="004564AF">
      <w:pPr>
        <w:rPr>
          <w:rFonts w:ascii="Arial" w:hAnsi="Arial" w:cs="Arial"/>
        </w:rPr>
      </w:pPr>
      <w:r w:rsidRPr="00816BAC">
        <w:rPr>
          <w:rStyle w:val="selectable"/>
          <w:rFonts w:ascii="Arial" w:hAnsi="Arial" w:cs="Arial"/>
        </w:rPr>
        <w:t>Cms.gov. 2021. </w:t>
      </w:r>
      <w:r w:rsidRPr="00816BAC">
        <w:rPr>
          <w:rStyle w:val="selectable"/>
          <w:rFonts w:ascii="Arial" w:hAnsi="Arial" w:cs="Arial"/>
          <w:i/>
          <w:iCs/>
        </w:rPr>
        <w:t>Medicaid Data Sources - General Information | CMS</w:t>
      </w:r>
      <w:r w:rsidRPr="00816BAC">
        <w:rPr>
          <w:rStyle w:val="selectable"/>
          <w:rFonts w:ascii="Arial" w:hAnsi="Arial" w:cs="Arial"/>
        </w:rPr>
        <w:t>. [online] Available at: &lt;https://www.cms.gov/research-statistics-data-and-systems/computer-data-and-systems/medicaiddatasourcesgeninfo&gt; [Accessed 12 April 2021].</w:t>
      </w:r>
    </w:p>
    <w:p w14:paraId="739EF7E4" w14:textId="7247E835" w:rsidR="005076A7" w:rsidRDefault="004564AF" w:rsidP="004564AF">
      <w:pPr>
        <w:rPr>
          <w:rStyle w:val="selectable"/>
          <w:rFonts w:ascii="Arial" w:hAnsi="Arial" w:cs="Arial"/>
          <w:shd w:val="clear" w:color="auto" w:fill="FFFFFF"/>
        </w:rPr>
      </w:pPr>
      <w:r w:rsidRPr="00816BAC">
        <w:rPr>
          <w:rStyle w:val="Strong"/>
          <w:rFonts w:ascii="Arial" w:hAnsi="Arial" w:cs="Arial"/>
          <w:shd w:val="clear" w:color="auto" w:fill="FFFFFF"/>
        </w:rPr>
        <w:t> </w:t>
      </w:r>
      <w:r w:rsidRPr="00816BAC">
        <w:rPr>
          <w:rStyle w:val="selectable"/>
          <w:rFonts w:ascii="Arial" w:hAnsi="Arial" w:cs="Arial"/>
          <w:shd w:val="clear" w:color="auto" w:fill="FFFFFF"/>
        </w:rPr>
        <w:t>Cms.gov. 2021. </w:t>
      </w:r>
      <w:r w:rsidRPr="00816BAC">
        <w:rPr>
          <w:rStyle w:val="selectable"/>
          <w:rFonts w:ascii="Arial" w:hAnsi="Arial" w:cs="Arial"/>
          <w:i/>
          <w:iCs/>
          <w:shd w:val="clear" w:color="auto" w:fill="FFFFFF"/>
        </w:rPr>
        <w:t>Medicaid Data Sources - General Information | CMS</w:t>
      </w:r>
      <w:r w:rsidRPr="00816BAC">
        <w:rPr>
          <w:rStyle w:val="selectable"/>
          <w:rFonts w:ascii="Arial" w:hAnsi="Arial" w:cs="Arial"/>
          <w:shd w:val="clear" w:color="auto" w:fill="FFFFFF"/>
        </w:rPr>
        <w:t>. [online] Available at: &lt;https://www.cms.gov/research-statistics-data-and-systems/computer-data-and-systems/medicaiddatasourcesgeninfo&gt; [Accessed 12 April 2021].</w:t>
      </w:r>
    </w:p>
    <w:p w14:paraId="4BA42D18" w14:textId="6C61B593" w:rsidR="0090343E" w:rsidRDefault="002207D4" w:rsidP="004564AF">
      <w:pPr>
        <w:rPr>
          <w:rFonts w:ascii="Arial" w:hAnsi="Arial" w:cs="Arial"/>
          <w:color w:val="000000"/>
          <w:shd w:val="clear" w:color="auto" w:fill="FFFFFF"/>
        </w:rPr>
      </w:pPr>
      <w:r>
        <w:rPr>
          <w:rFonts w:ascii="Arial" w:hAnsi="Arial" w:cs="Arial"/>
          <w:color w:val="000000"/>
          <w:shd w:val="clear" w:color="auto" w:fill="FFFFFF"/>
        </w:rPr>
        <w:t>CareSet Systems. 2021. </w:t>
      </w:r>
      <w:r>
        <w:rPr>
          <w:rFonts w:ascii="Arial" w:hAnsi="Arial" w:cs="Arial"/>
          <w:i/>
          <w:iCs/>
          <w:color w:val="000000"/>
          <w:shd w:val="clear" w:color="auto" w:fill="FFFFFF"/>
        </w:rPr>
        <w:t>CareSet Dataset: DocGraph Hop Teaming Documentation - CareSet Systems</w:t>
      </w:r>
      <w:r>
        <w:rPr>
          <w:rFonts w:ascii="Arial" w:hAnsi="Arial" w:cs="Arial"/>
          <w:color w:val="000000"/>
          <w:shd w:val="clear" w:color="auto" w:fill="FFFFFF"/>
        </w:rPr>
        <w:t>. [online] Available at: &lt;https://careset.com/datasets-3/hop-teaming/&gt; [Accessed 12 April 2021].</w:t>
      </w:r>
    </w:p>
    <w:p w14:paraId="7B7FBC3D" w14:textId="4FC22E16" w:rsidR="00A14ED8" w:rsidRDefault="00A14ED8" w:rsidP="004564AF">
      <w:pPr>
        <w:rPr>
          <w:rFonts w:ascii="Arial" w:hAnsi="Arial" w:cs="Arial"/>
          <w:color w:val="000000"/>
          <w:shd w:val="clear" w:color="auto" w:fill="FFFFFF"/>
        </w:rPr>
      </w:pPr>
      <w:r>
        <w:rPr>
          <w:rFonts w:ascii="Arial" w:hAnsi="Arial" w:cs="Arial"/>
          <w:color w:val="000000"/>
          <w:shd w:val="clear" w:color="auto" w:fill="FFFFFF"/>
        </w:rPr>
        <w:t>Medicare.gov. 2021. </w:t>
      </w:r>
      <w:r>
        <w:rPr>
          <w:rFonts w:ascii="Arial" w:hAnsi="Arial" w:cs="Arial"/>
          <w:i/>
          <w:iCs/>
          <w:color w:val="000000"/>
          <w:shd w:val="clear" w:color="auto" w:fill="FFFFFF"/>
        </w:rPr>
        <w:t>Durable Medical Equipment Coverage</w:t>
      </w:r>
      <w:r>
        <w:rPr>
          <w:rFonts w:ascii="Arial" w:hAnsi="Arial" w:cs="Arial"/>
          <w:color w:val="000000"/>
          <w:shd w:val="clear" w:color="auto" w:fill="FFFFFF"/>
        </w:rPr>
        <w:t>. [online] Available at: &lt;https://www.medicare.gov/coverage/durable-medical-equipment-dme-coverage&gt; [Accessed 12 April 2021].</w:t>
      </w:r>
    </w:p>
    <w:p w14:paraId="676ED89B" w14:textId="77BFC50D" w:rsidR="00F80473" w:rsidRPr="00816BAC" w:rsidRDefault="00F80473" w:rsidP="004564AF">
      <w:r>
        <w:rPr>
          <w:rFonts w:ascii="Arial" w:hAnsi="Arial" w:cs="Arial"/>
          <w:color w:val="000000"/>
          <w:shd w:val="clear" w:color="auto" w:fill="FFFFFF"/>
        </w:rPr>
        <w:lastRenderedPageBreak/>
        <w:t>Data.cms.gov. 2021. [online] Available at: &lt;https://data.cms.gov/Medicare-Durable-Medical-Equipment-DME-/Medicare-Referring-Provider-DMEPOS-PUF-CY2018/qxg2-8iki&gt; [Accessed 12 April 2021].</w:t>
      </w:r>
    </w:p>
    <w:p w14:paraId="1EA4199C" w14:textId="77777777" w:rsidR="003D7BC1" w:rsidRDefault="003D7BC1" w:rsidP="003D7BC1">
      <w:pPr>
        <w:pStyle w:val="NoSpacing"/>
      </w:pPr>
    </w:p>
    <w:p w14:paraId="109E5899" w14:textId="5FEDD5F5" w:rsidR="009C5DA1" w:rsidRDefault="004114A3" w:rsidP="009C5DA1">
      <w:pPr>
        <w:rPr>
          <w:rFonts w:ascii="Arial" w:hAnsi="Arial" w:cs="Arial"/>
          <w:color w:val="000000"/>
          <w:shd w:val="clear" w:color="auto" w:fill="FFFFFF"/>
        </w:rPr>
      </w:pPr>
      <w:r>
        <w:rPr>
          <w:rFonts w:ascii="Arial" w:hAnsi="Arial" w:cs="Arial"/>
          <w:color w:val="000000"/>
          <w:shd w:val="clear" w:color="auto" w:fill="FFFFFF"/>
        </w:rPr>
        <w:t>Interim HealthCare. 2021. </w:t>
      </w:r>
      <w:r>
        <w:rPr>
          <w:rFonts w:ascii="Arial" w:hAnsi="Arial" w:cs="Arial"/>
          <w:i/>
          <w:iCs/>
          <w:color w:val="000000"/>
          <w:shd w:val="clear" w:color="auto" w:fill="FFFFFF"/>
        </w:rPr>
        <w:t xml:space="preserve">Home Health Aides (HHA) and Certified Nursing Assistants (CNA) - What’s the </w:t>
      </w:r>
      <w:proofErr w:type="gramStart"/>
      <w:r>
        <w:rPr>
          <w:rFonts w:ascii="Arial" w:hAnsi="Arial" w:cs="Arial"/>
          <w:i/>
          <w:iCs/>
          <w:color w:val="000000"/>
          <w:shd w:val="clear" w:color="auto" w:fill="FFFFFF"/>
        </w:rPr>
        <w:t>Difference?</w:t>
      </w:r>
      <w:r>
        <w:rPr>
          <w:rFonts w:ascii="Arial" w:hAnsi="Arial" w:cs="Arial"/>
          <w:color w:val="000000"/>
          <w:shd w:val="clear" w:color="auto" w:fill="FFFFFF"/>
        </w:rPr>
        <w:t>.</w:t>
      </w:r>
      <w:proofErr w:type="gramEnd"/>
      <w:r>
        <w:rPr>
          <w:rFonts w:ascii="Arial" w:hAnsi="Arial" w:cs="Arial"/>
          <w:color w:val="000000"/>
          <w:shd w:val="clear" w:color="auto" w:fill="FFFFFF"/>
        </w:rPr>
        <w:t xml:space="preserve"> [online] Available at: &lt;https://www.interimhealthcare.com/saltlakecityut/blog/february-2016/home-health-aides-(hha)-and-certified-nursing-assi/#:~:text=The%20main%20responsibility%20of%20a,%2C%20eating%2C%20and%20hygiene%20needs.&gt; [Accessed 12 April 2021].</w:t>
      </w:r>
    </w:p>
    <w:p w14:paraId="423603E7" w14:textId="18809453" w:rsidR="004808AC" w:rsidRDefault="004808AC" w:rsidP="009C5DA1">
      <w:pPr>
        <w:rPr>
          <w:rFonts w:ascii="Arial" w:hAnsi="Arial" w:cs="Arial"/>
          <w:color w:val="000000"/>
          <w:shd w:val="clear" w:color="auto" w:fill="FFFFFF"/>
        </w:rPr>
      </w:pPr>
      <w:r>
        <w:rPr>
          <w:rFonts w:ascii="Arial" w:hAnsi="Arial" w:cs="Arial"/>
          <w:color w:val="000000"/>
          <w:shd w:val="clear" w:color="auto" w:fill="FFFFFF"/>
        </w:rPr>
        <w:t>Psoriasis.org. 2021. </w:t>
      </w:r>
      <w:r>
        <w:rPr>
          <w:rFonts w:ascii="Arial" w:hAnsi="Arial" w:cs="Arial"/>
          <w:i/>
          <w:iCs/>
          <w:color w:val="000000"/>
          <w:shd w:val="clear" w:color="auto" w:fill="FFFFFF"/>
        </w:rPr>
        <w:t xml:space="preserve">Medicare Part A, B, C and D: What’s the </w:t>
      </w:r>
      <w:proofErr w:type="gramStart"/>
      <w:r>
        <w:rPr>
          <w:rFonts w:ascii="Arial" w:hAnsi="Arial" w:cs="Arial"/>
          <w:i/>
          <w:iCs/>
          <w:color w:val="000000"/>
          <w:shd w:val="clear" w:color="auto" w:fill="FFFFFF"/>
        </w:rPr>
        <w:t>Difference?</w:t>
      </w:r>
      <w:r>
        <w:rPr>
          <w:rFonts w:ascii="Arial" w:hAnsi="Arial" w:cs="Arial"/>
          <w:color w:val="000000"/>
          <w:shd w:val="clear" w:color="auto" w:fill="FFFFFF"/>
        </w:rPr>
        <w:t>.</w:t>
      </w:r>
      <w:proofErr w:type="gramEnd"/>
      <w:r>
        <w:rPr>
          <w:rFonts w:ascii="Arial" w:hAnsi="Arial" w:cs="Arial"/>
          <w:color w:val="000000"/>
          <w:shd w:val="clear" w:color="auto" w:fill="FFFFFF"/>
        </w:rPr>
        <w:t xml:space="preserve"> [online] Available at: &lt;https://www.psoriasis.org/advance/medicare-part-a-b-c-and-d-whats-the-difference/?gclid=CjwKCAjwjbCDBhAwEiwAiudBy_LktGC190GBZPVbUnX0f9t-w1OYjjNmMQ4H7VB2HcU_IhkSfB_g1BoCDdsQAvD_BwE&gt; [Accessed 12 April 2021].</w:t>
      </w:r>
    </w:p>
    <w:p w14:paraId="17C6F485" w14:textId="6C72D9E9" w:rsidR="00EA57E1" w:rsidRDefault="00EA57E1" w:rsidP="009C5DA1">
      <w:pPr>
        <w:rPr>
          <w:rFonts w:ascii="Arial" w:hAnsi="Arial" w:cs="Arial"/>
          <w:color w:val="000000"/>
          <w:shd w:val="clear" w:color="auto" w:fill="FFFFFF"/>
        </w:rPr>
      </w:pPr>
      <w:r>
        <w:rPr>
          <w:rFonts w:ascii="Arial" w:hAnsi="Arial" w:cs="Arial"/>
          <w:color w:val="000000"/>
          <w:shd w:val="clear" w:color="auto" w:fill="FFFFFF"/>
        </w:rPr>
        <w:t>Data.cms.gov. 2021. [online] Available at: &lt;https://data.cms.gov/Medicare-Durable-Medical-Equipment-DME-/Medicare-Referring-Provider-DMEPOS-PUF-CY2018/qxg2-8iki&gt; [Accessed 12 April 2021].</w:t>
      </w:r>
    </w:p>
    <w:p w14:paraId="0D1EBB0E" w14:textId="4152C158" w:rsidR="002D5CC0" w:rsidRDefault="002D5CC0" w:rsidP="009C5DA1">
      <w:pPr>
        <w:rPr>
          <w:rFonts w:ascii="Arial" w:hAnsi="Arial" w:cs="Arial"/>
          <w:color w:val="000000"/>
          <w:shd w:val="clear" w:color="auto" w:fill="FFFFFF"/>
        </w:rPr>
      </w:pPr>
      <w:r>
        <w:rPr>
          <w:rFonts w:ascii="Arial" w:hAnsi="Arial" w:cs="Arial"/>
          <w:color w:val="000000"/>
          <w:shd w:val="clear" w:color="auto" w:fill="FFFFFF"/>
        </w:rPr>
        <w:t>Data.cms.gov. 2021. [online] Available at: &lt;https://data.cms.gov/Medicare-Enrollment/Order-and-Referring/qcn7-gc3g&gt; [Accessed 12 April 2021].</w:t>
      </w:r>
    </w:p>
    <w:p w14:paraId="1ED01F9E" w14:textId="09E8CFA1" w:rsidR="008E34F0" w:rsidRDefault="008E34F0">
      <w:pPr>
        <w:rPr>
          <w:rFonts w:ascii="Arial" w:hAnsi="Arial" w:cs="Arial"/>
          <w:color w:val="000000"/>
          <w:shd w:val="clear" w:color="auto" w:fill="FFFFFF"/>
        </w:rPr>
      </w:pPr>
      <w:r>
        <w:rPr>
          <w:rFonts w:ascii="Arial" w:hAnsi="Arial" w:cs="Arial"/>
          <w:color w:val="000000"/>
          <w:shd w:val="clear" w:color="auto" w:fill="FFFFFF"/>
        </w:rPr>
        <w:br w:type="page"/>
      </w:r>
    </w:p>
    <w:p w14:paraId="43720AA3" w14:textId="1D318A99" w:rsidR="00C26B18" w:rsidRDefault="008E34F0" w:rsidP="00876E95">
      <w:pPr>
        <w:pStyle w:val="Heading3"/>
      </w:pPr>
      <w:bookmarkStart w:id="4" w:name="_Toc69143834"/>
      <w:r>
        <w:lastRenderedPageBreak/>
        <w:t>APPENDIX 1:</w:t>
      </w:r>
      <w:bookmarkEnd w:id="4"/>
    </w:p>
    <w:p w14:paraId="058E987C" w14:textId="5E502F56" w:rsidR="00FC6C88" w:rsidRDefault="00FC6C88" w:rsidP="00876E95"/>
    <w:p w14:paraId="4534DF5E" w14:textId="0121B3F2" w:rsidR="00D2442C" w:rsidRDefault="00E42D75" w:rsidP="00876E95">
      <w:r>
        <w:t>Medicare Referring Provider &amp; Union</w:t>
      </w:r>
      <w:r w:rsidR="00436E13">
        <w:t xml:space="preserve"> Medical (DocGraph Hop Teaming &amp; Order and Referring)</w:t>
      </w:r>
    </w:p>
    <w:p w14:paraId="54A45956" w14:textId="53E14DDA" w:rsidR="00A15D83" w:rsidRDefault="00A15D83" w:rsidP="00876E95">
      <w:r w:rsidRPr="00A15D83">
        <w:drawing>
          <wp:inline distT="0" distB="0" distL="0" distR="0" wp14:anchorId="60DACCB2" wp14:editId="44EBA893">
            <wp:extent cx="3124471" cy="5334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5334462"/>
                    </a:xfrm>
                    <a:prstGeom prst="rect">
                      <a:avLst/>
                    </a:prstGeom>
                  </pic:spPr>
                </pic:pic>
              </a:graphicData>
            </a:graphic>
          </wp:inline>
        </w:drawing>
      </w:r>
    </w:p>
    <w:p w14:paraId="0574836F" w14:textId="0F1DD89C" w:rsidR="00337499" w:rsidRDefault="00337499" w:rsidP="00876E95">
      <w:r w:rsidRPr="00337499">
        <w:drawing>
          <wp:inline distT="0" distB="0" distL="0" distR="0" wp14:anchorId="72D7147E" wp14:editId="403A13FE">
            <wp:extent cx="3170195" cy="1699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195" cy="1699407"/>
                    </a:xfrm>
                    <a:prstGeom prst="rect">
                      <a:avLst/>
                    </a:prstGeom>
                  </pic:spPr>
                </pic:pic>
              </a:graphicData>
            </a:graphic>
          </wp:inline>
        </w:drawing>
      </w:r>
    </w:p>
    <w:p w14:paraId="070B8A47" w14:textId="55E7C005" w:rsidR="00337499" w:rsidRDefault="00D2442C" w:rsidP="00876E95">
      <w:r w:rsidRPr="00D2442C">
        <w:lastRenderedPageBreak/>
        <w:drawing>
          <wp:inline distT="0" distB="0" distL="0" distR="0" wp14:anchorId="69CBF294" wp14:editId="502609BB">
            <wp:extent cx="2263336" cy="344453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3336" cy="3444538"/>
                    </a:xfrm>
                    <a:prstGeom prst="rect">
                      <a:avLst/>
                    </a:prstGeom>
                  </pic:spPr>
                </pic:pic>
              </a:graphicData>
            </a:graphic>
          </wp:inline>
        </w:drawing>
      </w:r>
    </w:p>
    <w:p w14:paraId="36BE5BE7" w14:textId="3FD88FD3" w:rsidR="00BD793C" w:rsidRDefault="00BD793C">
      <w:r>
        <w:br w:type="page"/>
      </w:r>
    </w:p>
    <w:p w14:paraId="7212627F" w14:textId="22270CEB" w:rsidR="00BD793C" w:rsidRDefault="00BD793C" w:rsidP="00BD793C">
      <w:pPr>
        <w:pStyle w:val="Heading3"/>
      </w:pPr>
      <w:bookmarkStart w:id="5" w:name="_Toc69143835"/>
      <w:r>
        <w:lastRenderedPageBreak/>
        <w:t>APPENDIX 2:</w:t>
      </w:r>
      <w:bookmarkEnd w:id="5"/>
    </w:p>
    <w:p w14:paraId="4F275814" w14:textId="77777777" w:rsidR="0019558A" w:rsidRPr="0019558A" w:rsidRDefault="0019558A" w:rsidP="0019558A"/>
    <w:p w14:paraId="2FBCBA27" w14:textId="036E2345" w:rsidR="001C0ABE" w:rsidRPr="001C0ABE" w:rsidRDefault="001C0ABE" w:rsidP="0014162C">
      <w:r w:rsidRPr="001C0ABE">
        <w:rPr>
          <w:color w:val="3367D6"/>
        </w:rPr>
        <w:t>SELECT</w:t>
      </w:r>
      <w:r w:rsidRPr="001C0ABE">
        <w:t> REFERRING_NPI, REFERRING_PROVIDER_LAST_ORG_NAME, REFERRING_PROVIDER_FIRST_NAME, REFERRING_CREDENTIALS, REFERRING_PROVIDER_GENDER, REFERRING_PROVIDER_CITY, </w:t>
      </w:r>
    </w:p>
    <w:p w14:paraId="763E3CA9" w14:textId="77777777" w:rsidR="001C0ABE" w:rsidRPr="001C0ABE" w:rsidRDefault="001C0ABE" w:rsidP="0014162C">
      <w:r w:rsidRPr="001C0ABE">
        <w:t>REFERRING_PROVIDER_STATE, REFERRING_PROVIDER_COUNTRY, REFERRING_PROVIDER_TYPE, HCPCS_CODE,</w:t>
      </w:r>
    </w:p>
    <w:p w14:paraId="3576E329" w14:textId="77777777" w:rsidR="001C0ABE" w:rsidRPr="001C0ABE" w:rsidRDefault="001C0ABE" w:rsidP="0014162C">
      <w:r w:rsidRPr="001C0ABE">
        <w:t> HCPCS_DESCRIPTION, BETOS_CLASSIFICATION_GROUP, SUPPLIER_RENTAL_INDICATOR,</w:t>
      </w:r>
    </w:p>
    <w:p w14:paraId="1E166412" w14:textId="083B9A2B" w:rsidR="001E7499" w:rsidRPr="002C7335" w:rsidRDefault="001C0ABE" w:rsidP="0014162C">
      <w:r w:rsidRPr="001C0ABE">
        <w:t>NUMBER_OF_SUPPLIERS, NUMBER_OF_SUPPLIER_BENEFICIARIES, NUMBER_OF_SUPPLIER_CLAIMS, NUMBER_OF_SUPPLIER_SERVICES, </w:t>
      </w:r>
    </w:p>
    <w:p w14:paraId="08BABBDC" w14:textId="77777777" w:rsidR="0019558A" w:rsidRDefault="00817643" w:rsidP="0014162C">
      <w:r w:rsidRPr="00817643">
        <w:rPr>
          <w:color w:val="3367D6"/>
        </w:rPr>
        <w:t>ROUND</w:t>
      </w:r>
      <w:r w:rsidRPr="00817643">
        <w:rPr>
          <w:color w:val="37474F"/>
        </w:rPr>
        <w:t>(</w:t>
      </w:r>
      <w:r w:rsidRPr="00817643">
        <w:t>AVG_SUPPLIER_SUBMITTED_CHARGE,</w:t>
      </w:r>
      <w:r w:rsidRPr="00817643">
        <w:rPr>
          <w:color w:val="F4511E"/>
        </w:rPr>
        <w:t>2</w:t>
      </w:r>
      <w:r w:rsidRPr="00817643">
        <w:rPr>
          <w:color w:val="37474F"/>
        </w:rPr>
        <w:t>)</w:t>
      </w:r>
      <w:r w:rsidRPr="00817643">
        <w:t> </w:t>
      </w:r>
      <w:r w:rsidRPr="00817643">
        <w:rPr>
          <w:color w:val="3367D6"/>
        </w:rPr>
        <w:t>AS</w:t>
      </w:r>
      <w:r w:rsidRPr="00817643">
        <w:t> AVG_SUPPLIER_SUBMITTED_CHARGE, </w:t>
      </w:r>
    </w:p>
    <w:p w14:paraId="66D1BB91" w14:textId="5C461C5B" w:rsidR="00817643" w:rsidRDefault="00817643" w:rsidP="0014162C">
      <w:r w:rsidRPr="00817643">
        <w:rPr>
          <w:color w:val="3367D6"/>
        </w:rPr>
        <w:t>ROUND</w:t>
      </w:r>
      <w:r w:rsidRPr="00817643">
        <w:rPr>
          <w:color w:val="37474F"/>
        </w:rPr>
        <w:t>(</w:t>
      </w:r>
      <w:r w:rsidRPr="00817643">
        <w:t>AVG_SUPPLIER_MEDICARE_ALLOW_AMT,</w:t>
      </w:r>
      <w:r w:rsidRPr="00817643">
        <w:rPr>
          <w:color w:val="F4511E"/>
        </w:rPr>
        <w:t>2</w:t>
      </w:r>
      <w:r w:rsidRPr="00817643">
        <w:rPr>
          <w:color w:val="37474F"/>
        </w:rPr>
        <w:t>)</w:t>
      </w:r>
      <w:r w:rsidRPr="00817643">
        <w:t> </w:t>
      </w:r>
      <w:r w:rsidRPr="00817643">
        <w:rPr>
          <w:color w:val="3367D6"/>
        </w:rPr>
        <w:t>AS</w:t>
      </w:r>
      <w:r w:rsidRPr="00817643">
        <w:t> AVG_SUPPLIER_MEDICARE_ALLOW_AMT, </w:t>
      </w:r>
    </w:p>
    <w:p w14:paraId="27C1FCC8" w14:textId="77777777" w:rsidR="00B35927" w:rsidRDefault="00817643" w:rsidP="0014162C">
      <w:r w:rsidRPr="00817643">
        <w:rPr>
          <w:color w:val="3367D6"/>
        </w:rPr>
        <w:t>ROUND</w:t>
      </w:r>
      <w:r w:rsidRPr="00817643">
        <w:rPr>
          <w:color w:val="37474F"/>
        </w:rPr>
        <w:t>(</w:t>
      </w:r>
      <w:r w:rsidRPr="00817643">
        <w:t>AVG_SUPPLIER_MEDICARE_PMT_AMT,</w:t>
      </w:r>
      <w:r w:rsidRPr="00817643">
        <w:rPr>
          <w:color w:val="F4511E"/>
        </w:rPr>
        <w:t>2</w:t>
      </w:r>
      <w:r w:rsidRPr="00817643">
        <w:rPr>
          <w:color w:val="37474F"/>
        </w:rPr>
        <w:t>)</w:t>
      </w:r>
      <w:r w:rsidRPr="00817643">
        <w:t> </w:t>
      </w:r>
      <w:r w:rsidRPr="00817643">
        <w:rPr>
          <w:color w:val="3367D6"/>
        </w:rPr>
        <w:t>AS</w:t>
      </w:r>
      <w:r w:rsidRPr="00817643">
        <w:t> AVG_SUPPLIER_MEDICARE_PMT_AMT,</w:t>
      </w:r>
    </w:p>
    <w:p w14:paraId="17159C8B" w14:textId="580B5E7E" w:rsidR="00817643" w:rsidRPr="00817643" w:rsidRDefault="00817643" w:rsidP="0014162C">
      <w:r w:rsidRPr="00817643">
        <w:t> </w:t>
      </w:r>
      <w:r w:rsidRPr="00817643">
        <w:rPr>
          <w:color w:val="3367D6"/>
        </w:rPr>
        <w:t>ROUND</w:t>
      </w:r>
      <w:r w:rsidRPr="00817643">
        <w:rPr>
          <w:color w:val="37474F"/>
        </w:rPr>
        <w:t>(</w:t>
      </w:r>
      <w:r w:rsidRPr="00817643">
        <w:t>AVG_SUPPLIER_MEDICARE_STD_AMT,</w:t>
      </w:r>
      <w:r w:rsidRPr="00817643">
        <w:rPr>
          <w:color w:val="F4511E"/>
        </w:rPr>
        <w:t>2</w:t>
      </w:r>
      <w:r w:rsidRPr="00817643">
        <w:rPr>
          <w:color w:val="37474F"/>
        </w:rPr>
        <w:t>)</w:t>
      </w:r>
      <w:r w:rsidRPr="00817643">
        <w:t> </w:t>
      </w:r>
      <w:r w:rsidRPr="00817643">
        <w:rPr>
          <w:color w:val="3367D6"/>
        </w:rPr>
        <w:t>AS</w:t>
      </w:r>
      <w:r w:rsidRPr="00817643">
        <w:t> AVG_SUPPLIER_MEDICARE_STD_AMT</w:t>
      </w:r>
    </w:p>
    <w:p w14:paraId="5C09B837" w14:textId="77777777" w:rsidR="001E7499" w:rsidRPr="001E7499" w:rsidRDefault="001E7499" w:rsidP="0014162C">
      <w:pPr>
        <w:rPr>
          <w:color w:val="000000"/>
        </w:rPr>
      </w:pPr>
      <w:r w:rsidRPr="001E7499">
        <w:rPr>
          <w:color w:val="3367D6"/>
        </w:rPr>
        <w:t>FROM</w:t>
      </w:r>
      <w:r w:rsidRPr="001E7499">
        <w:rPr>
          <w:color w:val="000000"/>
        </w:rPr>
        <w:t> </w:t>
      </w:r>
      <w:r w:rsidRPr="001E7499">
        <w:t>`pioneering-axe-307101.Medicare_Referring_Provider.Medicare`</w:t>
      </w:r>
    </w:p>
    <w:p w14:paraId="16DC60C8" w14:textId="25038218" w:rsidR="00EB732C" w:rsidRDefault="00EB732C" w:rsidP="0014162C"/>
    <w:p w14:paraId="12A291F6" w14:textId="233C2E02" w:rsidR="00262F4B" w:rsidRDefault="00262F4B" w:rsidP="0014162C">
      <w:r>
        <w:t>1</w:t>
      </w:r>
      <w:r w:rsidRPr="00262F4B">
        <w:rPr>
          <w:vertAlign w:val="superscript"/>
        </w:rPr>
        <w:t>ST</w:t>
      </w:r>
      <w:r>
        <w:t xml:space="preserve"> SLIDE</w:t>
      </w:r>
    </w:p>
    <w:p w14:paraId="576CA0F7" w14:textId="77777777" w:rsidR="00A040A4" w:rsidRPr="00A040A4" w:rsidRDefault="00A040A4" w:rsidP="0014162C">
      <w:r w:rsidRPr="00A040A4">
        <w:rPr>
          <w:color w:val="3367D6"/>
        </w:rPr>
        <w:t>SELECT</w:t>
      </w:r>
      <w:r w:rsidRPr="00A040A4">
        <w:t> </w:t>
      </w:r>
      <w:r w:rsidRPr="00A040A4">
        <w:rPr>
          <w:color w:val="3367D6"/>
        </w:rPr>
        <w:t>DISTINCT</w:t>
      </w:r>
      <w:r w:rsidRPr="00A040A4">
        <w:t> HCPCS_CODE, NUMBER_OF_SUPPLIER_BENEFICIARIES, NUMBER_OF_SUPPLIER_CLAIMS, NUMBER_OF_SUPPLIER_SERVICES</w:t>
      </w:r>
    </w:p>
    <w:p w14:paraId="7D680788" w14:textId="77777777" w:rsidR="00A040A4" w:rsidRPr="00A040A4" w:rsidRDefault="00A040A4" w:rsidP="0014162C">
      <w:pPr>
        <w:rPr>
          <w:color w:val="000000"/>
        </w:rPr>
      </w:pPr>
      <w:r w:rsidRPr="00A040A4">
        <w:rPr>
          <w:color w:val="3367D6"/>
        </w:rPr>
        <w:t>FROM</w:t>
      </w:r>
      <w:r w:rsidRPr="00A040A4">
        <w:rPr>
          <w:color w:val="000000"/>
        </w:rPr>
        <w:t> </w:t>
      </w:r>
      <w:r w:rsidRPr="00A040A4">
        <w:t>`pioneering-axe-307101.Medicare_Referring_Provider.Medicare`</w:t>
      </w:r>
    </w:p>
    <w:p w14:paraId="1AF5EA83" w14:textId="77777777" w:rsidR="00A040A4" w:rsidRPr="00A040A4" w:rsidRDefault="00A040A4" w:rsidP="0014162C">
      <w:pPr>
        <w:rPr>
          <w:color w:val="000000"/>
        </w:rPr>
      </w:pPr>
      <w:r w:rsidRPr="00A040A4">
        <w:rPr>
          <w:color w:val="3367D6"/>
        </w:rPr>
        <w:t>WHERE</w:t>
      </w:r>
      <w:r w:rsidRPr="00A040A4">
        <w:rPr>
          <w:color w:val="000000"/>
        </w:rPr>
        <w:t> </w:t>
      </w:r>
      <w:r w:rsidRPr="00A040A4">
        <w:t>NUMBER_OF_SUPPLIER_BENEFICIARIES</w:t>
      </w:r>
      <w:r w:rsidRPr="00A040A4">
        <w:rPr>
          <w:color w:val="000000"/>
        </w:rPr>
        <w:t>=</w:t>
      </w:r>
      <w:r w:rsidRPr="00A040A4">
        <w:rPr>
          <w:color w:val="F4511E"/>
        </w:rPr>
        <w:t>0</w:t>
      </w:r>
    </w:p>
    <w:p w14:paraId="6732720A" w14:textId="5272D13E" w:rsidR="00A040A4" w:rsidRDefault="00A040A4" w:rsidP="0014162C">
      <w:pPr>
        <w:rPr>
          <w:color w:val="3367D6"/>
        </w:rPr>
      </w:pPr>
      <w:r w:rsidRPr="00A040A4">
        <w:rPr>
          <w:color w:val="3367D6"/>
        </w:rPr>
        <w:t>ORDER</w:t>
      </w:r>
      <w:r w:rsidRPr="00A040A4">
        <w:t> </w:t>
      </w:r>
      <w:r w:rsidRPr="00A040A4">
        <w:rPr>
          <w:color w:val="3367D6"/>
        </w:rPr>
        <w:t>BY</w:t>
      </w:r>
      <w:r w:rsidRPr="00A040A4">
        <w:t> NUMBER_OF_SUPPLIER_SERVICES </w:t>
      </w:r>
      <w:r w:rsidRPr="00A040A4">
        <w:rPr>
          <w:color w:val="3367D6"/>
        </w:rPr>
        <w:t>DESC</w:t>
      </w:r>
      <w:r w:rsidRPr="00A040A4">
        <w:t>, NUMBER_OF_SUPPLIER_BENEFICIARIES </w:t>
      </w:r>
      <w:r w:rsidRPr="00A040A4">
        <w:rPr>
          <w:color w:val="3367D6"/>
        </w:rPr>
        <w:t>DESC</w:t>
      </w:r>
    </w:p>
    <w:p w14:paraId="19D212B7" w14:textId="2B24AC21" w:rsidR="00766A9C" w:rsidRDefault="00766A9C" w:rsidP="0014162C"/>
    <w:p w14:paraId="38EC49ED" w14:textId="3FF33E83" w:rsidR="00766A9C" w:rsidRDefault="00FC2838" w:rsidP="0014162C">
      <w:r>
        <w:t>2</w:t>
      </w:r>
      <w:r w:rsidRPr="00FC2838">
        <w:rPr>
          <w:vertAlign w:val="superscript"/>
        </w:rPr>
        <w:t>nd</w:t>
      </w:r>
      <w:r>
        <w:t xml:space="preserve"> SLIDE</w:t>
      </w:r>
    </w:p>
    <w:p w14:paraId="71B2077F" w14:textId="77777777" w:rsidR="00FC2838" w:rsidRDefault="00FC2838" w:rsidP="0014162C"/>
    <w:p w14:paraId="3D981DD8" w14:textId="77777777" w:rsidR="00FC2838" w:rsidRPr="00FC2838" w:rsidRDefault="00FC2838" w:rsidP="0014162C">
      <w:r w:rsidRPr="00FC2838">
        <w:rPr>
          <w:color w:val="3367D6"/>
        </w:rPr>
        <w:t>SELECT</w:t>
      </w:r>
      <w:r w:rsidRPr="00FC2838">
        <w:t> REFERRING_PROVIDER_LAST_ORG_NAME, REFERRING_CREDENTIALS, REFERRING_PROVIDER_TYPE, BETOS_CLASSIFICATION_GROUP, NUMBER_OF_SUPPLIERS, REFERRING_PROVIDER_CITY, NUMBER_OF_SUPPLIER_BENEFICIARIES,</w:t>
      </w:r>
    </w:p>
    <w:p w14:paraId="0FBDC775" w14:textId="491E0461" w:rsidR="00FC2838" w:rsidRPr="00FC2838" w:rsidRDefault="00FC2838" w:rsidP="0014162C">
      <w:r w:rsidRPr="00FC2838">
        <w:rPr>
          <w:color w:val="3367D6"/>
        </w:rPr>
        <w:t>ROUND</w:t>
      </w:r>
      <w:r w:rsidRPr="00FC2838">
        <w:rPr>
          <w:color w:val="37474F"/>
        </w:rPr>
        <w:t>(</w:t>
      </w:r>
      <w:r w:rsidRPr="00FC2838">
        <w:t>AVG_SUPPLIER_SUBMITTED_CHARGE,</w:t>
      </w:r>
      <w:r w:rsidRPr="00FC2838">
        <w:rPr>
          <w:color w:val="F4511E"/>
        </w:rPr>
        <w:t>2</w:t>
      </w:r>
      <w:r w:rsidRPr="00FC2838">
        <w:rPr>
          <w:color w:val="37474F"/>
        </w:rPr>
        <w:t>)</w:t>
      </w:r>
      <w:r w:rsidRPr="00FC2838">
        <w:t> </w:t>
      </w:r>
      <w:r w:rsidRPr="00FC2838">
        <w:rPr>
          <w:color w:val="3367D6"/>
        </w:rPr>
        <w:t>AS</w:t>
      </w:r>
      <w:r w:rsidRPr="00FC2838">
        <w:t> AVG_SUPPLIER_SUBMITTED_CHARGE,</w:t>
      </w:r>
    </w:p>
    <w:p w14:paraId="7E997AC3" w14:textId="77777777" w:rsidR="00FC2838" w:rsidRPr="00FC2838" w:rsidRDefault="00FC2838" w:rsidP="0014162C">
      <w:r w:rsidRPr="00FC2838">
        <w:rPr>
          <w:color w:val="3367D6"/>
        </w:rPr>
        <w:t>ROUND</w:t>
      </w:r>
      <w:r w:rsidRPr="00FC2838">
        <w:rPr>
          <w:color w:val="37474F"/>
        </w:rPr>
        <w:t>(</w:t>
      </w:r>
      <w:r w:rsidRPr="00FC2838">
        <w:t>AVG_SUPPLIER_MEDICARE_ALLOW_AMT,</w:t>
      </w:r>
      <w:r w:rsidRPr="00FC2838">
        <w:rPr>
          <w:color w:val="F4511E"/>
        </w:rPr>
        <w:t>2</w:t>
      </w:r>
      <w:r w:rsidRPr="00FC2838">
        <w:rPr>
          <w:color w:val="37474F"/>
        </w:rPr>
        <w:t>)</w:t>
      </w:r>
      <w:r w:rsidRPr="00FC2838">
        <w:t> </w:t>
      </w:r>
      <w:r w:rsidRPr="00FC2838">
        <w:rPr>
          <w:color w:val="3367D6"/>
        </w:rPr>
        <w:t>AS</w:t>
      </w:r>
      <w:r w:rsidRPr="00FC2838">
        <w:t> AVG_SUPPLIER_MEDICARE_ALLOW_AMT, </w:t>
      </w:r>
    </w:p>
    <w:p w14:paraId="610791EF" w14:textId="77777777" w:rsidR="00FC2838" w:rsidRPr="00FC2838" w:rsidRDefault="00FC2838" w:rsidP="0014162C">
      <w:r w:rsidRPr="00FC2838">
        <w:rPr>
          <w:color w:val="3367D6"/>
        </w:rPr>
        <w:t>ROUND</w:t>
      </w:r>
      <w:r w:rsidRPr="00FC2838">
        <w:rPr>
          <w:color w:val="37474F"/>
        </w:rPr>
        <w:t>(</w:t>
      </w:r>
      <w:r w:rsidRPr="00FC2838">
        <w:t>AVG_SUPPLIER_MEDICARE_PMT_AMT,</w:t>
      </w:r>
      <w:r w:rsidRPr="00FC2838">
        <w:rPr>
          <w:color w:val="F4511E"/>
        </w:rPr>
        <w:t>2</w:t>
      </w:r>
      <w:r w:rsidRPr="00FC2838">
        <w:rPr>
          <w:color w:val="37474F"/>
        </w:rPr>
        <w:t>)</w:t>
      </w:r>
      <w:r w:rsidRPr="00FC2838">
        <w:t> </w:t>
      </w:r>
      <w:r w:rsidRPr="00FC2838">
        <w:rPr>
          <w:color w:val="3367D6"/>
        </w:rPr>
        <w:t>AS</w:t>
      </w:r>
      <w:r w:rsidRPr="00FC2838">
        <w:t> AVG_SUPPLIER_MEDICARE_PMT_AMT,</w:t>
      </w:r>
    </w:p>
    <w:p w14:paraId="7A766AD7" w14:textId="77777777" w:rsidR="00FC2838" w:rsidRPr="00FC2838" w:rsidRDefault="00FC2838" w:rsidP="0014162C">
      <w:pPr>
        <w:rPr>
          <w:color w:val="000000"/>
        </w:rPr>
      </w:pPr>
      <w:r w:rsidRPr="00FC2838">
        <w:rPr>
          <w:color w:val="3367D6"/>
        </w:rPr>
        <w:lastRenderedPageBreak/>
        <w:t>FROM</w:t>
      </w:r>
      <w:r w:rsidRPr="00FC2838">
        <w:rPr>
          <w:color w:val="000000"/>
        </w:rPr>
        <w:t> </w:t>
      </w:r>
      <w:r w:rsidRPr="00FC2838">
        <w:t>`pioneering-axe-307101.Medicare_Referring_Provider.Medicare`</w:t>
      </w:r>
    </w:p>
    <w:p w14:paraId="67E2CA23" w14:textId="3D56C221" w:rsidR="00555C52" w:rsidRDefault="00555C52" w:rsidP="0014162C"/>
    <w:p w14:paraId="0AFDB218" w14:textId="77777777" w:rsidR="00F85B29" w:rsidRDefault="00F85B29" w:rsidP="00F85B29">
      <w:r>
        <w:t>3</w:t>
      </w:r>
      <w:r w:rsidRPr="00974D24">
        <w:rPr>
          <w:vertAlign w:val="superscript"/>
        </w:rPr>
        <w:t>RD</w:t>
      </w:r>
      <w:r>
        <w:t xml:space="preserve"> SLIDE</w:t>
      </w:r>
    </w:p>
    <w:p w14:paraId="41A5F811" w14:textId="77777777" w:rsidR="00F85B29" w:rsidRPr="00745862" w:rsidRDefault="00F85B29" w:rsidP="00F85B29">
      <w:r w:rsidRPr="00745862">
        <w:rPr>
          <w:color w:val="3367D6"/>
        </w:rPr>
        <w:t>SELECT</w:t>
      </w:r>
      <w:r w:rsidRPr="00745862">
        <w:t> From_npi, to_npi, patient_count, transaction_count, average_day_wait, std_day_wait, NPI, LAST_NAME, FIRST_NAME, PART_B, DME, </w:t>
      </w:r>
    </w:p>
    <w:p w14:paraId="172A8A9B" w14:textId="77777777" w:rsidR="00F85B29" w:rsidRPr="00745862" w:rsidRDefault="00F85B29" w:rsidP="00F85B29">
      <w:r w:rsidRPr="00745862">
        <w:t>HHA, PMD</w:t>
      </w:r>
    </w:p>
    <w:p w14:paraId="56141B66" w14:textId="77777777" w:rsidR="00F85B29" w:rsidRPr="00745862" w:rsidRDefault="00F85B29" w:rsidP="00F85B29">
      <w:pPr>
        <w:rPr>
          <w:color w:val="000000"/>
        </w:rPr>
      </w:pPr>
      <w:r w:rsidRPr="00745862">
        <w:rPr>
          <w:color w:val="3367D6"/>
        </w:rPr>
        <w:t>FROM</w:t>
      </w:r>
      <w:r w:rsidRPr="00745862">
        <w:rPr>
          <w:color w:val="000000"/>
        </w:rPr>
        <w:t> </w:t>
      </w:r>
      <w:r w:rsidRPr="00745862">
        <w:t>`pioneering-axe-307101.Union_Referring_Provider.Union_Medical`</w:t>
      </w:r>
      <w:r w:rsidRPr="00745862">
        <w:rPr>
          <w:color w:val="000000"/>
        </w:rPr>
        <w:t> </w:t>
      </w:r>
    </w:p>
    <w:p w14:paraId="5C6BEFA5" w14:textId="77777777" w:rsidR="00F85B29" w:rsidRPr="00745862" w:rsidRDefault="00F85B29" w:rsidP="00F85B29">
      <w:pPr>
        <w:rPr>
          <w:color w:val="000000"/>
        </w:rPr>
      </w:pPr>
      <w:r w:rsidRPr="00745862">
        <w:t>WHERE</w:t>
      </w:r>
      <w:r w:rsidRPr="00745862">
        <w:rPr>
          <w:color w:val="000000"/>
        </w:rPr>
        <w:t> </w:t>
      </w:r>
      <w:r w:rsidRPr="00745862">
        <w:rPr>
          <w:color w:val="800000"/>
        </w:rPr>
        <w:t>PART_B</w:t>
      </w:r>
      <w:r w:rsidRPr="00745862">
        <w:rPr>
          <w:color w:val="000000"/>
        </w:rPr>
        <w:t>=</w:t>
      </w:r>
      <w:r w:rsidRPr="00745862">
        <w:t>FALSE</w:t>
      </w:r>
      <w:r w:rsidRPr="00745862">
        <w:rPr>
          <w:color w:val="000000"/>
        </w:rPr>
        <w:t> </w:t>
      </w:r>
      <w:r w:rsidRPr="00745862">
        <w:t>AND</w:t>
      </w:r>
      <w:r w:rsidRPr="00745862">
        <w:rPr>
          <w:color w:val="000000"/>
        </w:rPr>
        <w:t> </w:t>
      </w:r>
      <w:r w:rsidRPr="00745862">
        <w:rPr>
          <w:color w:val="800000"/>
        </w:rPr>
        <w:t>HHA</w:t>
      </w:r>
      <w:r w:rsidRPr="00745862">
        <w:rPr>
          <w:color w:val="000000"/>
        </w:rPr>
        <w:t>=</w:t>
      </w:r>
      <w:r w:rsidRPr="00745862">
        <w:t>FALSE</w:t>
      </w:r>
    </w:p>
    <w:p w14:paraId="33D573BE" w14:textId="77777777" w:rsidR="00F85B29" w:rsidRPr="00745862" w:rsidRDefault="00F85B29" w:rsidP="00F85B29">
      <w:r w:rsidRPr="00745862">
        <w:rPr>
          <w:color w:val="3367D6"/>
        </w:rPr>
        <w:t>ORDER</w:t>
      </w:r>
      <w:r w:rsidRPr="00745862">
        <w:t> </w:t>
      </w:r>
      <w:r w:rsidRPr="00745862">
        <w:rPr>
          <w:color w:val="3367D6"/>
        </w:rPr>
        <w:t>BY</w:t>
      </w:r>
      <w:r w:rsidRPr="00745862">
        <w:t> </w:t>
      </w:r>
      <w:proofErr w:type="spellStart"/>
      <w:r w:rsidRPr="00745862">
        <w:t>average_day_wait</w:t>
      </w:r>
      <w:proofErr w:type="spellEnd"/>
      <w:r w:rsidRPr="00745862">
        <w:t> </w:t>
      </w:r>
      <w:proofErr w:type="gramStart"/>
      <w:r w:rsidRPr="00745862">
        <w:rPr>
          <w:color w:val="3367D6"/>
        </w:rPr>
        <w:t>DESC</w:t>
      </w:r>
      <w:proofErr w:type="gramEnd"/>
    </w:p>
    <w:p w14:paraId="1EC621F5" w14:textId="77777777" w:rsidR="00F85B29" w:rsidRDefault="00F85B29" w:rsidP="00F85B29"/>
    <w:p w14:paraId="321176FE" w14:textId="77777777" w:rsidR="00F85B29" w:rsidRDefault="00F85B29" w:rsidP="00F85B29">
      <w:r>
        <w:t>3</w:t>
      </w:r>
      <w:r w:rsidRPr="005A24DE">
        <w:rPr>
          <w:vertAlign w:val="superscript"/>
        </w:rPr>
        <w:t>RD</w:t>
      </w:r>
      <w:r>
        <w:t xml:space="preserve"> SLIDE</w:t>
      </w:r>
    </w:p>
    <w:p w14:paraId="630EB095" w14:textId="77777777" w:rsidR="00F85B29" w:rsidRPr="001E17F5" w:rsidRDefault="00F85B29" w:rsidP="00F85B29">
      <w:r w:rsidRPr="001E17F5">
        <w:rPr>
          <w:color w:val="3367D6"/>
        </w:rPr>
        <w:t>SELECT</w:t>
      </w:r>
      <w:r w:rsidRPr="001E17F5">
        <w:t> From_npi, to_npi, patient_count, transaction_count, average_day_wait, std_day_wait, NPI, LAST_NAME, FIRST_NAME, PART_B, DME, </w:t>
      </w:r>
    </w:p>
    <w:p w14:paraId="45993AD1" w14:textId="77777777" w:rsidR="00F85B29" w:rsidRPr="001E17F5" w:rsidRDefault="00F85B29" w:rsidP="00F85B29">
      <w:r w:rsidRPr="001E17F5">
        <w:t>HHA, PMD</w:t>
      </w:r>
    </w:p>
    <w:p w14:paraId="227232FA" w14:textId="77777777" w:rsidR="00F85B29" w:rsidRPr="001E17F5" w:rsidRDefault="00F85B29" w:rsidP="00F85B29">
      <w:pPr>
        <w:rPr>
          <w:color w:val="000000"/>
        </w:rPr>
      </w:pPr>
      <w:r w:rsidRPr="001E17F5">
        <w:rPr>
          <w:color w:val="3367D6"/>
        </w:rPr>
        <w:t>FROM</w:t>
      </w:r>
      <w:r w:rsidRPr="001E17F5">
        <w:rPr>
          <w:color w:val="000000"/>
        </w:rPr>
        <w:t> </w:t>
      </w:r>
      <w:r w:rsidRPr="001E17F5">
        <w:t>`pioneering-axe-307101.Union_Referring_Provider.Union_Medical`</w:t>
      </w:r>
      <w:r w:rsidRPr="001E17F5">
        <w:rPr>
          <w:color w:val="000000"/>
        </w:rPr>
        <w:t> </w:t>
      </w:r>
    </w:p>
    <w:p w14:paraId="121A6C80" w14:textId="77777777" w:rsidR="00F85B29" w:rsidRPr="001E17F5" w:rsidRDefault="00F85B29" w:rsidP="00F85B29">
      <w:pPr>
        <w:rPr>
          <w:color w:val="000000"/>
        </w:rPr>
      </w:pPr>
      <w:r w:rsidRPr="001E17F5">
        <w:t>WHERE</w:t>
      </w:r>
      <w:r w:rsidRPr="001E17F5">
        <w:rPr>
          <w:color w:val="000000"/>
        </w:rPr>
        <w:t> </w:t>
      </w:r>
      <w:r w:rsidRPr="001E17F5">
        <w:rPr>
          <w:color w:val="800000"/>
        </w:rPr>
        <w:t>PART_B</w:t>
      </w:r>
      <w:r w:rsidRPr="001E17F5">
        <w:rPr>
          <w:color w:val="000000"/>
        </w:rPr>
        <w:t>=</w:t>
      </w:r>
      <w:r w:rsidRPr="001E17F5">
        <w:t>TRUE</w:t>
      </w:r>
      <w:r w:rsidRPr="001E17F5">
        <w:rPr>
          <w:color w:val="000000"/>
        </w:rPr>
        <w:t> </w:t>
      </w:r>
      <w:r w:rsidRPr="001E17F5">
        <w:t>AND</w:t>
      </w:r>
      <w:r w:rsidRPr="001E17F5">
        <w:rPr>
          <w:color w:val="000000"/>
        </w:rPr>
        <w:t> </w:t>
      </w:r>
      <w:r w:rsidRPr="001E17F5">
        <w:rPr>
          <w:color w:val="800000"/>
        </w:rPr>
        <w:t>HHA</w:t>
      </w:r>
      <w:r w:rsidRPr="001E17F5">
        <w:rPr>
          <w:color w:val="000000"/>
        </w:rPr>
        <w:t>=</w:t>
      </w:r>
      <w:r w:rsidRPr="001E17F5">
        <w:t>TRUE</w:t>
      </w:r>
      <w:r w:rsidRPr="001E17F5">
        <w:rPr>
          <w:color w:val="000000"/>
        </w:rPr>
        <w:t> </w:t>
      </w:r>
      <w:r w:rsidRPr="001E17F5">
        <w:t>AND</w:t>
      </w:r>
      <w:r w:rsidRPr="001E17F5">
        <w:rPr>
          <w:color w:val="000000"/>
        </w:rPr>
        <w:t> </w:t>
      </w:r>
      <w:r w:rsidRPr="001E17F5">
        <w:rPr>
          <w:color w:val="800000"/>
        </w:rPr>
        <w:t>DME</w:t>
      </w:r>
      <w:r w:rsidRPr="001E17F5">
        <w:rPr>
          <w:color w:val="000000"/>
        </w:rPr>
        <w:t>=</w:t>
      </w:r>
      <w:r w:rsidRPr="001E17F5">
        <w:t>TRUE</w:t>
      </w:r>
      <w:r w:rsidRPr="001E17F5">
        <w:rPr>
          <w:color w:val="000000"/>
        </w:rPr>
        <w:t> </w:t>
      </w:r>
      <w:r w:rsidRPr="001E17F5">
        <w:t>AND</w:t>
      </w:r>
      <w:r w:rsidRPr="001E17F5">
        <w:rPr>
          <w:color w:val="000000"/>
        </w:rPr>
        <w:t> </w:t>
      </w:r>
      <w:r w:rsidRPr="001E17F5">
        <w:rPr>
          <w:color w:val="800000"/>
        </w:rPr>
        <w:t>PMD</w:t>
      </w:r>
      <w:r w:rsidRPr="001E17F5">
        <w:rPr>
          <w:color w:val="000000"/>
        </w:rPr>
        <w:t>=</w:t>
      </w:r>
      <w:r w:rsidRPr="001E17F5">
        <w:t>TRUE</w:t>
      </w:r>
    </w:p>
    <w:p w14:paraId="1AC12F83" w14:textId="77777777" w:rsidR="00F85B29" w:rsidRPr="001E17F5" w:rsidRDefault="00F85B29" w:rsidP="00F85B29">
      <w:r w:rsidRPr="001E17F5">
        <w:rPr>
          <w:color w:val="3367D6"/>
        </w:rPr>
        <w:t>ORDER</w:t>
      </w:r>
      <w:r w:rsidRPr="001E17F5">
        <w:t> </w:t>
      </w:r>
      <w:r w:rsidRPr="001E17F5">
        <w:rPr>
          <w:color w:val="3367D6"/>
        </w:rPr>
        <w:t>BY</w:t>
      </w:r>
      <w:r w:rsidRPr="001E17F5">
        <w:t> </w:t>
      </w:r>
      <w:proofErr w:type="spellStart"/>
      <w:r w:rsidRPr="001E17F5">
        <w:t>average_day_wait</w:t>
      </w:r>
      <w:proofErr w:type="spellEnd"/>
      <w:r w:rsidRPr="001E17F5">
        <w:t> </w:t>
      </w:r>
      <w:proofErr w:type="gramStart"/>
      <w:r w:rsidRPr="001E17F5">
        <w:rPr>
          <w:color w:val="3367D6"/>
        </w:rPr>
        <w:t>ASC</w:t>
      </w:r>
      <w:proofErr w:type="gramEnd"/>
      <w:r w:rsidRPr="001E17F5">
        <w:t> </w:t>
      </w:r>
    </w:p>
    <w:p w14:paraId="0048733C" w14:textId="77777777" w:rsidR="00F85B29" w:rsidRDefault="00F85B29" w:rsidP="00F85B29"/>
    <w:p w14:paraId="76797293" w14:textId="77777777" w:rsidR="00F85B29" w:rsidRDefault="00F85B29" w:rsidP="00F85B29">
      <w:r>
        <w:t>4</w:t>
      </w:r>
      <w:r w:rsidRPr="005F3B4B">
        <w:rPr>
          <w:vertAlign w:val="superscript"/>
        </w:rPr>
        <w:t>th</w:t>
      </w:r>
      <w:r>
        <w:t xml:space="preserve"> SLIDE</w:t>
      </w:r>
    </w:p>
    <w:p w14:paraId="2C2D70EF" w14:textId="77777777" w:rsidR="00F85B29" w:rsidRPr="005B1E6A" w:rsidRDefault="00F85B29" w:rsidP="00F85B29">
      <w:r w:rsidRPr="005B1E6A">
        <w:rPr>
          <w:color w:val="3367D6"/>
        </w:rPr>
        <w:t>SELECT</w:t>
      </w:r>
      <w:r w:rsidRPr="005B1E6A">
        <w:t> </w:t>
      </w:r>
      <w:r w:rsidRPr="005B1E6A">
        <w:rPr>
          <w:color w:val="3367D6"/>
        </w:rPr>
        <w:t>DISTINCT</w:t>
      </w:r>
      <w:r w:rsidRPr="005B1E6A">
        <w:t> NPI, patient_count, average_day_wait, PART_B, DME, HHA, PMD,</w:t>
      </w:r>
    </w:p>
    <w:p w14:paraId="66524887" w14:textId="77777777" w:rsidR="00F85B29" w:rsidRPr="005B1E6A" w:rsidRDefault="00F85B29" w:rsidP="00F85B29">
      <w:r w:rsidRPr="005B1E6A">
        <w:t>  REFERRING_NPI,</w:t>
      </w:r>
    </w:p>
    <w:p w14:paraId="7DB55CB9" w14:textId="77777777" w:rsidR="00F85B29" w:rsidRPr="005B1E6A" w:rsidRDefault="00F85B29" w:rsidP="00F85B29">
      <w:r w:rsidRPr="005B1E6A">
        <w:t>  REFERRING_PROVIDER_LAST_ORG_NAME,</w:t>
      </w:r>
    </w:p>
    <w:p w14:paraId="31B324D0" w14:textId="77777777" w:rsidR="00F85B29" w:rsidRPr="005B1E6A" w:rsidRDefault="00F85B29" w:rsidP="00F85B29">
      <w:r w:rsidRPr="005B1E6A">
        <w:t>  REFERRING_CREDENTIALS,</w:t>
      </w:r>
    </w:p>
    <w:p w14:paraId="4097FFED" w14:textId="77777777" w:rsidR="00F85B29" w:rsidRPr="005B1E6A" w:rsidRDefault="00F85B29" w:rsidP="00F85B29">
      <w:r w:rsidRPr="005B1E6A">
        <w:t>  REFERRING_PROVIDER_COUNTRY,</w:t>
      </w:r>
    </w:p>
    <w:p w14:paraId="22420210" w14:textId="77777777" w:rsidR="00F85B29" w:rsidRPr="005B1E6A" w:rsidRDefault="00F85B29" w:rsidP="00F85B29">
      <w:r w:rsidRPr="005B1E6A">
        <w:t>  REFERRING_PROVIDER_CITY,</w:t>
      </w:r>
    </w:p>
    <w:p w14:paraId="5955E6EB" w14:textId="77777777" w:rsidR="00F85B29" w:rsidRPr="005B1E6A" w:rsidRDefault="00F85B29" w:rsidP="00F85B29">
      <w:r w:rsidRPr="005B1E6A">
        <w:t>  REFERRING_PROVIDER_TYPE,</w:t>
      </w:r>
    </w:p>
    <w:p w14:paraId="4F88ADAC" w14:textId="77777777" w:rsidR="00F85B29" w:rsidRPr="005B1E6A" w:rsidRDefault="00F85B29" w:rsidP="00F85B29">
      <w:r w:rsidRPr="005B1E6A">
        <w:t>  HCPCS_CODE,</w:t>
      </w:r>
    </w:p>
    <w:p w14:paraId="497B7354" w14:textId="77777777" w:rsidR="00F85B29" w:rsidRPr="005B1E6A" w:rsidRDefault="00F85B29" w:rsidP="00F85B29">
      <w:r w:rsidRPr="005B1E6A">
        <w:t>  BETOS_CLASSIFICATION_GROUP,</w:t>
      </w:r>
    </w:p>
    <w:p w14:paraId="2004412C" w14:textId="77777777" w:rsidR="00F85B29" w:rsidRPr="005B1E6A" w:rsidRDefault="00F85B29" w:rsidP="00F85B29">
      <w:r w:rsidRPr="005B1E6A">
        <w:t>  NUMBER_OF_SUPPLIERS,</w:t>
      </w:r>
    </w:p>
    <w:p w14:paraId="5E44FECA" w14:textId="77777777" w:rsidR="00F85B29" w:rsidRPr="005B1E6A" w:rsidRDefault="00F85B29" w:rsidP="00F85B29">
      <w:r w:rsidRPr="005B1E6A">
        <w:t>  NUMBER_OF_SUPPLIER_BENEFICIARIES,</w:t>
      </w:r>
    </w:p>
    <w:p w14:paraId="17EF6201" w14:textId="77777777" w:rsidR="00F85B29" w:rsidRPr="005B1E6A" w:rsidRDefault="00F85B29" w:rsidP="00F85B29">
      <w:r w:rsidRPr="005B1E6A">
        <w:t>  NUMBER_OF_SUPPLIER_CLAIMS,</w:t>
      </w:r>
    </w:p>
    <w:p w14:paraId="558F72F0" w14:textId="77777777" w:rsidR="00F85B29" w:rsidRPr="005B1E6A" w:rsidRDefault="00F85B29" w:rsidP="00F85B29">
      <w:r w:rsidRPr="005B1E6A">
        <w:lastRenderedPageBreak/>
        <w:t>  NUMBER_OF_SUPPLIER_SERVICES,</w:t>
      </w:r>
    </w:p>
    <w:p w14:paraId="7B395253" w14:textId="77777777" w:rsidR="00F85B29" w:rsidRPr="005B1E6A" w:rsidRDefault="00F85B29" w:rsidP="00F85B29">
      <w:r w:rsidRPr="005B1E6A">
        <w:t>  </w:t>
      </w:r>
      <w:r w:rsidRPr="005B1E6A">
        <w:rPr>
          <w:color w:val="3367D6"/>
        </w:rPr>
        <w:t>ROUND</w:t>
      </w:r>
      <w:r w:rsidRPr="005B1E6A">
        <w:rPr>
          <w:color w:val="37474F"/>
        </w:rPr>
        <w:t>(</w:t>
      </w:r>
      <w:r w:rsidRPr="005B1E6A">
        <w:t>AVG_SUPPLIER_SUBMITTED_CHARGE,</w:t>
      </w:r>
      <w:r w:rsidRPr="005B1E6A">
        <w:rPr>
          <w:color w:val="F4511E"/>
        </w:rPr>
        <w:t>2</w:t>
      </w:r>
      <w:r w:rsidRPr="005B1E6A">
        <w:rPr>
          <w:color w:val="37474F"/>
        </w:rPr>
        <w:t>)</w:t>
      </w:r>
      <w:r w:rsidRPr="005B1E6A">
        <w:t> </w:t>
      </w:r>
      <w:r w:rsidRPr="005B1E6A">
        <w:rPr>
          <w:color w:val="3367D6"/>
        </w:rPr>
        <w:t>AS</w:t>
      </w:r>
      <w:r w:rsidRPr="005B1E6A">
        <w:t> AVG_SUPPLIER_SUBMITTED_CHARGE,</w:t>
      </w:r>
    </w:p>
    <w:p w14:paraId="611844FE" w14:textId="77777777" w:rsidR="00F85B29" w:rsidRPr="005B1E6A" w:rsidRDefault="00F85B29" w:rsidP="00F85B29">
      <w:r w:rsidRPr="005B1E6A">
        <w:t>  </w:t>
      </w:r>
      <w:r w:rsidRPr="005B1E6A">
        <w:rPr>
          <w:color w:val="3367D6"/>
        </w:rPr>
        <w:t>ROUND</w:t>
      </w:r>
      <w:r w:rsidRPr="005B1E6A">
        <w:rPr>
          <w:color w:val="37474F"/>
        </w:rPr>
        <w:t>(</w:t>
      </w:r>
      <w:r w:rsidRPr="005B1E6A">
        <w:t>AVG_SUPPLIER_MEDICARE_ALLOW_AMT,</w:t>
      </w:r>
      <w:r w:rsidRPr="005B1E6A">
        <w:rPr>
          <w:color w:val="F4511E"/>
        </w:rPr>
        <w:t>2</w:t>
      </w:r>
      <w:r w:rsidRPr="005B1E6A">
        <w:rPr>
          <w:color w:val="37474F"/>
        </w:rPr>
        <w:t>)</w:t>
      </w:r>
      <w:r w:rsidRPr="005B1E6A">
        <w:t> </w:t>
      </w:r>
      <w:r w:rsidRPr="005B1E6A">
        <w:rPr>
          <w:color w:val="3367D6"/>
        </w:rPr>
        <w:t>AS</w:t>
      </w:r>
      <w:r w:rsidRPr="005B1E6A">
        <w:t> AVG_SUPPLIER_MEDICARE_ALLOW_AMT,</w:t>
      </w:r>
    </w:p>
    <w:p w14:paraId="7B1BB470" w14:textId="77777777" w:rsidR="00F85B29" w:rsidRPr="005B1E6A" w:rsidRDefault="00F85B29" w:rsidP="00F85B29">
      <w:r w:rsidRPr="005B1E6A">
        <w:t>  </w:t>
      </w:r>
      <w:r w:rsidRPr="005B1E6A">
        <w:rPr>
          <w:color w:val="3367D6"/>
        </w:rPr>
        <w:t>ROUND</w:t>
      </w:r>
      <w:r w:rsidRPr="005B1E6A">
        <w:rPr>
          <w:color w:val="37474F"/>
        </w:rPr>
        <w:t>(</w:t>
      </w:r>
      <w:r w:rsidRPr="005B1E6A">
        <w:t>AVG_SUPPLIER_MEDICARE_PMT_AMT,</w:t>
      </w:r>
      <w:r w:rsidRPr="005B1E6A">
        <w:rPr>
          <w:color w:val="F4511E"/>
        </w:rPr>
        <w:t>2</w:t>
      </w:r>
      <w:r w:rsidRPr="005B1E6A">
        <w:rPr>
          <w:color w:val="37474F"/>
        </w:rPr>
        <w:t>)</w:t>
      </w:r>
      <w:r w:rsidRPr="005B1E6A">
        <w:t> </w:t>
      </w:r>
      <w:r w:rsidRPr="005B1E6A">
        <w:rPr>
          <w:color w:val="3367D6"/>
        </w:rPr>
        <w:t>AS</w:t>
      </w:r>
      <w:r w:rsidRPr="005B1E6A">
        <w:t> AVG_SUPPLIER_MEDICARE_PMT_AMT</w:t>
      </w:r>
    </w:p>
    <w:p w14:paraId="70E629AA" w14:textId="77777777" w:rsidR="00F85B29" w:rsidRPr="005B1E6A" w:rsidRDefault="00F85B29" w:rsidP="00F85B29">
      <w:pPr>
        <w:rPr>
          <w:color w:val="000000"/>
        </w:rPr>
      </w:pPr>
      <w:r w:rsidRPr="005B1E6A">
        <w:rPr>
          <w:color w:val="3367D6"/>
        </w:rPr>
        <w:t>FROM</w:t>
      </w:r>
      <w:r w:rsidRPr="005B1E6A">
        <w:rPr>
          <w:color w:val="000000"/>
        </w:rPr>
        <w:t> </w:t>
      </w:r>
      <w:r w:rsidRPr="005B1E6A">
        <w:t>`pioneering-axe-307101.Union_Referring_Provider.Union_Medical`</w:t>
      </w:r>
      <w:r w:rsidRPr="005B1E6A">
        <w:rPr>
          <w:color w:val="000000"/>
        </w:rPr>
        <w:t> </w:t>
      </w:r>
      <w:r w:rsidRPr="005B1E6A">
        <w:rPr>
          <w:color w:val="3367D6"/>
        </w:rPr>
        <w:t>INNER</w:t>
      </w:r>
      <w:r w:rsidRPr="005B1E6A">
        <w:rPr>
          <w:color w:val="000000"/>
        </w:rPr>
        <w:t> </w:t>
      </w:r>
      <w:r w:rsidRPr="005B1E6A">
        <w:rPr>
          <w:color w:val="3367D6"/>
        </w:rPr>
        <w:t>JOIN</w:t>
      </w:r>
      <w:r w:rsidRPr="005B1E6A">
        <w:rPr>
          <w:color w:val="000000"/>
        </w:rPr>
        <w:t> </w:t>
      </w:r>
      <w:r w:rsidRPr="005B1E6A">
        <w:t>`pioneering-axe-307101.Medicare_Referring_Provider.Medicare`</w:t>
      </w:r>
    </w:p>
    <w:p w14:paraId="48D95E10" w14:textId="77777777" w:rsidR="00F85B29" w:rsidRPr="005B1E6A" w:rsidRDefault="00F85B29" w:rsidP="00F85B29">
      <w:r w:rsidRPr="005B1E6A">
        <w:rPr>
          <w:color w:val="3367D6"/>
        </w:rPr>
        <w:t>ON</w:t>
      </w:r>
      <w:r w:rsidRPr="005B1E6A">
        <w:t> </w:t>
      </w:r>
      <w:r w:rsidRPr="005B1E6A">
        <w:rPr>
          <w:color w:val="800000"/>
        </w:rPr>
        <w:t>NPI</w:t>
      </w:r>
      <w:r w:rsidRPr="005B1E6A">
        <w:t> = REFERRING_NPI</w:t>
      </w:r>
    </w:p>
    <w:p w14:paraId="55FA56AA" w14:textId="77777777" w:rsidR="00F85B29" w:rsidRPr="005B1E6A" w:rsidRDefault="00F85B29" w:rsidP="00F85B29">
      <w:pPr>
        <w:rPr>
          <w:color w:val="000000"/>
        </w:rPr>
      </w:pPr>
      <w:r w:rsidRPr="005B1E6A">
        <w:t>WHERE</w:t>
      </w:r>
      <w:r w:rsidRPr="005B1E6A">
        <w:rPr>
          <w:color w:val="000000"/>
        </w:rPr>
        <w:t> </w:t>
      </w:r>
      <w:r w:rsidRPr="005B1E6A">
        <w:rPr>
          <w:color w:val="800000"/>
        </w:rPr>
        <w:t>PART_B</w:t>
      </w:r>
      <w:r w:rsidRPr="005B1E6A">
        <w:rPr>
          <w:color w:val="000000"/>
        </w:rPr>
        <w:t>=</w:t>
      </w:r>
      <w:r w:rsidRPr="005B1E6A">
        <w:t>TRUE</w:t>
      </w:r>
      <w:r w:rsidRPr="005B1E6A">
        <w:rPr>
          <w:color w:val="000000"/>
        </w:rPr>
        <w:t> </w:t>
      </w:r>
      <w:r w:rsidRPr="005B1E6A">
        <w:t>AND</w:t>
      </w:r>
      <w:r w:rsidRPr="005B1E6A">
        <w:rPr>
          <w:color w:val="000000"/>
        </w:rPr>
        <w:t> </w:t>
      </w:r>
      <w:r w:rsidRPr="005B1E6A">
        <w:rPr>
          <w:color w:val="800000"/>
        </w:rPr>
        <w:t>HHA</w:t>
      </w:r>
      <w:r w:rsidRPr="005B1E6A">
        <w:rPr>
          <w:color w:val="000000"/>
        </w:rPr>
        <w:t>=</w:t>
      </w:r>
      <w:r w:rsidRPr="005B1E6A">
        <w:t>FALSE</w:t>
      </w:r>
      <w:r w:rsidRPr="005B1E6A">
        <w:rPr>
          <w:color w:val="000000"/>
        </w:rPr>
        <w:t> </w:t>
      </w:r>
      <w:r w:rsidRPr="005B1E6A">
        <w:t>AND</w:t>
      </w:r>
      <w:r w:rsidRPr="005B1E6A">
        <w:rPr>
          <w:color w:val="000000"/>
        </w:rPr>
        <w:t> </w:t>
      </w:r>
      <w:r w:rsidRPr="005B1E6A">
        <w:rPr>
          <w:color w:val="800000"/>
        </w:rPr>
        <w:t>PMD</w:t>
      </w:r>
      <w:r w:rsidRPr="005B1E6A">
        <w:rPr>
          <w:color w:val="000000"/>
        </w:rPr>
        <w:t>=</w:t>
      </w:r>
      <w:r w:rsidRPr="005B1E6A">
        <w:t>FALSE</w:t>
      </w:r>
    </w:p>
    <w:p w14:paraId="7FDBA334" w14:textId="77777777" w:rsidR="00F85B29" w:rsidRPr="005B1E6A" w:rsidRDefault="00F85B29" w:rsidP="00F85B29">
      <w:pPr>
        <w:rPr>
          <w:color w:val="000000"/>
        </w:rPr>
      </w:pPr>
      <w:r w:rsidRPr="005B1E6A">
        <w:t>ORDER</w:t>
      </w:r>
      <w:r w:rsidRPr="005B1E6A">
        <w:rPr>
          <w:color w:val="000000"/>
        </w:rPr>
        <w:t> </w:t>
      </w:r>
      <w:r w:rsidRPr="005B1E6A">
        <w:t>BY</w:t>
      </w:r>
      <w:r w:rsidRPr="005B1E6A">
        <w:rPr>
          <w:color w:val="000000"/>
        </w:rPr>
        <w:t> NPI</w:t>
      </w:r>
    </w:p>
    <w:p w14:paraId="44625257" w14:textId="77777777" w:rsidR="00F85B29" w:rsidRDefault="00F85B29" w:rsidP="0014162C"/>
    <w:p w14:paraId="40B7F58C" w14:textId="77777777" w:rsidR="00541880" w:rsidRDefault="00541880" w:rsidP="0014162C"/>
    <w:p w14:paraId="6670CEC0" w14:textId="77777777" w:rsidR="00541880" w:rsidRDefault="00541880" w:rsidP="0014162C"/>
    <w:p w14:paraId="46007166" w14:textId="77777777" w:rsidR="00A51E9B" w:rsidRPr="00A51E9B" w:rsidRDefault="00A51E9B" w:rsidP="0014162C">
      <w:pPr>
        <w:rPr>
          <w:color w:val="000000"/>
        </w:rPr>
      </w:pPr>
      <w:r w:rsidRPr="00A51E9B">
        <w:t>SELECT</w:t>
      </w:r>
    </w:p>
    <w:p w14:paraId="1A0B2508" w14:textId="77777777" w:rsidR="00A51E9B" w:rsidRPr="00A51E9B" w:rsidRDefault="00A51E9B" w:rsidP="0014162C">
      <w:r w:rsidRPr="00A51E9B">
        <w:t>  HCPCS_DESCRIPTION, BETOS_CLASSIFICATION_GROUP, REFERRING_PROVIDER_CITY, </w:t>
      </w:r>
    </w:p>
    <w:p w14:paraId="3898689E" w14:textId="77777777" w:rsidR="00A51E9B" w:rsidRPr="00A51E9B" w:rsidRDefault="00A51E9B" w:rsidP="0014162C">
      <w:r w:rsidRPr="00A51E9B">
        <w:t>  REFERRING_PROVIDER_LAST_ORG_NAME, REFERRING_CREDENTIALS, HCPCS_CODE,</w:t>
      </w:r>
    </w:p>
    <w:p w14:paraId="49F23E87" w14:textId="77777777" w:rsidR="00A51E9B" w:rsidRPr="00A51E9B" w:rsidRDefault="00A51E9B" w:rsidP="0014162C">
      <w:r w:rsidRPr="00A51E9B">
        <w:t>  NUMBER_OF_SUPPLIERS,</w:t>
      </w:r>
    </w:p>
    <w:p w14:paraId="6D55A5AB" w14:textId="77777777" w:rsidR="00A51E9B" w:rsidRPr="00A51E9B" w:rsidRDefault="00A51E9B" w:rsidP="0014162C">
      <w:r w:rsidRPr="00A51E9B">
        <w:t>  NUMBER_OF_SUPPLIER_BENEFICIARIES,</w:t>
      </w:r>
    </w:p>
    <w:p w14:paraId="09C18F27" w14:textId="77777777" w:rsidR="00A51E9B" w:rsidRPr="00A51E9B" w:rsidRDefault="00A51E9B" w:rsidP="0014162C">
      <w:r w:rsidRPr="00A51E9B">
        <w:t>  NUMBER_OF_SUPPLIER_CLAIMS,</w:t>
      </w:r>
    </w:p>
    <w:p w14:paraId="619D92B9" w14:textId="77777777" w:rsidR="00A51E9B" w:rsidRPr="00A51E9B" w:rsidRDefault="00A51E9B" w:rsidP="0014162C">
      <w:r w:rsidRPr="00A51E9B">
        <w:t>  NUMBER_OF_SUPPLIER_SERVICES,</w:t>
      </w:r>
    </w:p>
    <w:p w14:paraId="7512AEF3" w14:textId="77777777" w:rsidR="00A51E9B" w:rsidRPr="00A51E9B" w:rsidRDefault="00A51E9B" w:rsidP="0014162C">
      <w:r w:rsidRPr="00A51E9B">
        <w:t>  </w:t>
      </w:r>
      <w:r w:rsidRPr="00A51E9B">
        <w:rPr>
          <w:color w:val="3367D6"/>
        </w:rPr>
        <w:t>ROUND</w:t>
      </w:r>
      <w:r w:rsidRPr="00A51E9B">
        <w:rPr>
          <w:color w:val="37474F"/>
        </w:rPr>
        <w:t>(</w:t>
      </w:r>
      <w:r w:rsidRPr="00A51E9B">
        <w:t>AVG_SUPPLIER_SUBMITTED_CHARGE,</w:t>
      </w:r>
      <w:r w:rsidRPr="00A51E9B">
        <w:rPr>
          <w:color w:val="F4511E"/>
        </w:rPr>
        <w:t>2</w:t>
      </w:r>
      <w:r w:rsidRPr="00A51E9B">
        <w:rPr>
          <w:color w:val="37474F"/>
        </w:rPr>
        <w:t>)</w:t>
      </w:r>
      <w:r w:rsidRPr="00A51E9B">
        <w:t> </w:t>
      </w:r>
      <w:r w:rsidRPr="00A51E9B">
        <w:rPr>
          <w:color w:val="3367D6"/>
        </w:rPr>
        <w:t>AS</w:t>
      </w:r>
      <w:r w:rsidRPr="00A51E9B">
        <w:t> AVG_SUPPLIER_SUBMITTED_CHARGE,</w:t>
      </w:r>
    </w:p>
    <w:p w14:paraId="68CEA81F" w14:textId="77777777" w:rsidR="00A51E9B" w:rsidRPr="00A51E9B" w:rsidRDefault="00A51E9B" w:rsidP="0014162C">
      <w:r w:rsidRPr="00A51E9B">
        <w:t>  </w:t>
      </w:r>
      <w:r w:rsidRPr="00A51E9B">
        <w:rPr>
          <w:color w:val="3367D6"/>
        </w:rPr>
        <w:t>ROUND</w:t>
      </w:r>
      <w:r w:rsidRPr="00A51E9B">
        <w:rPr>
          <w:color w:val="37474F"/>
        </w:rPr>
        <w:t>(</w:t>
      </w:r>
      <w:r w:rsidRPr="00A51E9B">
        <w:t>AVG_SUPPLIER_MEDICARE_ALLOW_AMT,</w:t>
      </w:r>
      <w:r w:rsidRPr="00A51E9B">
        <w:rPr>
          <w:color w:val="F4511E"/>
        </w:rPr>
        <w:t>2</w:t>
      </w:r>
      <w:r w:rsidRPr="00A51E9B">
        <w:rPr>
          <w:color w:val="37474F"/>
        </w:rPr>
        <w:t>)</w:t>
      </w:r>
      <w:r w:rsidRPr="00A51E9B">
        <w:t> </w:t>
      </w:r>
      <w:r w:rsidRPr="00A51E9B">
        <w:rPr>
          <w:color w:val="3367D6"/>
        </w:rPr>
        <w:t>AS</w:t>
      </w:r>
      <w:r w:rsidRPr="00A51E9B">
        <w:t> AVG_SUPPLIER_MEDICARE_ALLOW_AMT,</w:t>
      </w:r>
    </w:p>
    <w:p w14:paraId="5B14933D" w14:textId="77777777" w:rsidR="00A51E9B" w:rsidRPr="00A51E9B" w:rsidRDefault="00A51E9B" w:rsidP="0014162C">
      <w:r w:rsidRPr="00A51E9B">
        <w:t>  </w:t>
      </w:r>
      <w:r w:rsidRPr="00A51E9B">
        <w:rPr>
          <w:color w:val="3367D6"/>
        </w:rPr>
        <w:t>ROUND</w:t>
      </w:r>
      <w:r w:rsidRPr="00A51E9B">
        <w:rPr>
          <w:color w:val="37474F"/>
        </w:rPr>
        <w:t>(</w:t>
      </w:r>
      <w:r w:rsidRPr="00A51E9B">
        <w:t>AVG_SUPPLIER_MEDICARE_PMT_AMT,</w:t>
      </w:r>
      <w:r w:rsidRPr="00A51E9B">
        <w:rPr>
          <w:color w:val="F4511E"/>
        </w:rPr>
        <w:t>2</w:t>
      </w:r>
      <w:r w:rsidRPr="00A51E9B">
        <w:rPr>
          <w:color w:val="37474F"/>
        </w:rPr>
        <w:t>)</w:t>
      </w:r>
      <w:r w:rsidRPr="00A51E9B">
        <w:t> </w:t>
      </w:r>
      <w:r w:rsidRPr="00A51E9B">
        <w:rPr>
          <w:color w:val="3367D6"/>
        </w:rPr>
        <w:t>AS</w:t>
      </w:r>
      <w:r w:rsidRPr="00A51E9B">
        <w:t> AVG_SUPPLIER_MEDICARE_PMT_AMT,</w:t>
      </w:r>
    </w:p>
    <w:p w14:paraId="3F616D2B" w14:textId="77777777" w:rsidR="00A51E9B" w:rsidRPr="00A51E9B" w:rsidRDefault="00A51E9B" w:rsidP="0014162C">
      <w:pPr>
        <w:rPr>
          <w:color w:val="000000"/>
        </w:rPr>
      </w:pPr>
      <w:r w:rsidRPr="00A51E9B">
        <w:t>FROM</w:t>
      </w:r>
    </w:p>
    <w:p w14:paraId="17A5D494" w14:textId="77777777" w:rsidR="00A51E9B" w:rsidRPr="00A51E9B" w:rsidRDefault="00A51E9B" w:rsidP="0014162C">
      <w:pPr>
        <w:rPr>
          <w:color w:val="000000"/>
        </w:rPr>
      </w:pPr>
      <w:r w:rsidRPr="00A51E9B">
        <w:rPr>
          <w:color w:val="000000"/>
        </w:rPr>
        <w:t>  </w:t>
      </w:r>
      <w:r w:rsidRPr="00A51E9B">
        <w:t>`pioneering-axe-307101.Medicare_Referring_Provider.Medicare`</w:t>
      </w:r>
    </w:p>
    <w:p w14:paraId="4FD8EFF5" w14:textId="77777777" w:rsidR="00A51E9B" w:rsidRPr="00A51E9B" w:rsidRDefault="00A51E9B" w:rsidP="0014162C">
      <w:pPr>
        <w:rPr>
          <w:color w:val="000000"/>
        </w:rPr>
      </w:pPr>
      <w:proofErr w:type="gramStart"/>
      <w:r w:rsidRPr="00A51E9B">
        <w:t>WHERE</w:t>
      </w:r>
      <w:proofErr w:type="gramEnd"/>
      <w:r w:rsidRPr="00A51E9B">
        <w:rPr>
          <w:color w:val="000000"/>
        </w:rPr>
        <w:t> </w:t>
      </w:r>
    </w:p>
    <w:p w14:paraId="507A5AB3" w14:textId="77777777" w:rsidR="00A51E9B" w:rsidRPr="00A51E9B" w:rsidRDefault="00A51E9B" w:rsidP="0014162C">
      <w:pPr>
        <w:rPr>
          <w:color w:val="000000"/>
        </w:rPr>
      </w:pPr>
      <w:r w:rsidRPr="00A51E9B">
        <w:rPr>
          <w:color w:val="000000"/>
        </w:rPr>
        <w:t>  </w:t>
      </w:r>
      <w:r w:rsidRPr="00A51E9B">
        <w:t>REFERRING_PROVIDER_COUNTRY</w:t>
      </w:r>
      <w:r w:rsidRPr="00A51E9B">
        <w:rPr>
          <w:color w:val="000000"/>
        </w:rPr>
        <w:t>=</w:t>
      </w:r>
      <w:r w:rsidRPr="00A51E9B">
        <w:rPr>
          <w:color w:val="0D904F"/>
        </w:rPr>
        <w:t>'US'</w:t>
      </w:r>
    </w:p>
    <w:p w14:paraId="57BF1C83" w14:textId="46CC6038" w:rsidR="00555C52" w:rsidRDefault="00555C52" w:rsidP="0014162C"/>
    <w:p w14:paraId="555ACB9F" w14:textId="02229933" w:rsidR="005B1E6A" w:rsidRDefault="001E586E" w:rsidP="001E586E">
      <w:pPr>
        <w:pStyle w:val="Heading2"/>
      </w:pPr>
      <w:bookmarkStart w:id="6" w:name="_Toc69143836"/>
      <w:proofErr w:type="spellStart"/>
      <w:r>
        <w:lastRenderedPageBreak/>
        <w:t>Trifacta</w:t>
      </w:r>
      <w:bookmarkEnd w:id="6"/>
      <w:proofErr w:type="spellEnd"/>
    </w:p>
    <w:p w14:paraId="045BEB82" w14:textId="12EE16EE" w:rsidR="001E586E" w:rsidRPr="001E586E" w:rsidRDefault="006F1072" w:rsidP="001E586E">
      <w:r w:rsidRPr="006F1072">
        <w:drawing>
          <wp:inline distT="0" distB="0" distL="0" distR="0" wp14:anchorId="52F2605B" wp14:editId="3767703B">
            <wp:extent cx="3528366" cy="3604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8366" cy="3604572"/>
                    </a:xfrm>
                    <a:prstGeom prst="rect">
                      <a:avLst/>
                    </a:prstGeom>
                  </pic:spPr>
                </pic:pic>
              </a:graphicData>
            </a:graphic>
          </wp:inline>
        </w:drawing>
      </w:r>
    </w:p>
    <w:sectPr w:rsidR="001E586E" w:rsidRPr="001E5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31F2D"/>
    <w:multiLevelType w:val="multilevel"/>
    <w:tmpl w:val="4C26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97DDC"/>
    <w:multiLevelType w:val="multilevel"/>
    <w:tmpl w:val="797CF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99"/>
    <w:rsid w:val="000042F8"/>
    <w:rsid w:val="00007BE3"/>
    <w:rsid w:val="00013299"/>
    <w:rsid w:val="00017893"/>
    <w:rsid w:val="0003026A"/>
    <w:rsid w:val="0003477C"/>
    <w:rsid w:val="00040A8B"/>
    <w:rsid w:val="000432A6"/>
    <w:rsid w:val="00054B0F"/>
    <w:rsid w:val="00056997"/>
    <w:rsid w:val="000A14CE"/>
    <w:rsid w:val="000A308C"/>
    <w:rsid w:val="000A5D2E"/>
    <w:rsid w:val="000A6570"/>
    <w:rsid w:val="000B0EDD"/>
    <w:rsid w:val="000C34EE"/>
    <w:rsid w:val="000D3229"/>
    <w:rsid w:val="000D6653"/>
    <w:rsid w:val="000E209D"/>
    <w:rsid w:val="000E5338"/>
    <w:rsid w:val="0010013B"/>
    <w:rsid w:val="0011238F"/>
    <w:rsid w:val="001205BC"/>
    <w:rsid w:val="0014162C"/>
    <w:rsid w:val="0014693E"/>
    <w:rsid w:val="00155CEF"/>
    <w:rsid w:val="001571D4"/>
    <w:rsid w:val="0016027C"/>
    <w:rsid w:val="00162A11"/>
    <w:rsid w:val="00164308"/>
    <w:rsid w:val="00173C02"/>
    <w:rsid w:val="00182F7C"/>
    <w:rsid w:val="0019558A"/>
    <w:rsid w:val="00197A0D"/>
    <w:rsid w:val="001A3451"/>
    <w:rsid w:val="001B3B7A"/>
    <w:rsid w:val="001B5438"/>
    <w:rsid w:val="001B5992"/>
    <w:rsid w:val="001C0ABE"/>
    <w:rsid w:val="001D3BD0"/>
    <w:rsid w:val="001E17F5"/>
    <w:rsid w:val="001E4E43"/>
    <w:rsid w:val="001E586E"/>
    <w:rsid w:val="001E7499"/>
    <w:rsid w:val="001F2951"/>
    <w:rsid w:val="001F7072"/>
    <w:rsid w:val="00203D84"/>
    <w:rsid w:val="002046CD"/>
    <w:rsid w:val="00210321"/>
    <w:rsid w:val="002127D3"/>
    <w:rsid w:val="002155E1"/>
    <w:rsid w:val="002207D4"/>
    <w:rsid w:val="002212CD"/>
    <w:rsid w:val="00223041"/>
    <w:rsid w:val="00224E4C"/>
    <w:rsid w:val="0023357E"/>
    <w:rsid w:val="00245DE6"/>
    <w:rsid w:val="0025431A"/>
    <w:rsid w:val="00262F4B"/>
    <w:rsid w:val="002640FD"/>
    <w:rsid w:val="002731B9"/>
    <w:rsid w:val="0028463D"/>
    <w:rsid w:val="00291F55"/>
    <w:rsid w:val="002A09DE"/>
    <w:rsid w:val="002A24A3"/>
    <w:rsid w:val="002A5FF6"/>
    <w:rsid w:val="002B0235"/>
    <w:rsid w:val="002B431B"/>
    <w:rsid w:val="002C7335"/>
    <w:rsid w:val="002D5943"/>
    <w:rsid w:val="002D5CC0"/>
    <w:rsid w:val="002D7C7D"/>
    <w:rsid w:val="002F5003"/>
    <w:rsid w:val="002F724C"/>
    <w:rsid w:val="003128DD"/>
    <w:rsid w:val="00317DAD"/>
    <w:rsid w:val="00320528"/>
    <w:rsid w:val="00323532"/>
    <w:rsid w:val="00327DB4"/>
    <w:rsid w:val="00333FAF"/>
    <w:rsid w:val="00334C55"/>
    <w:rsid w:val="00337499"/>
    <w:rsid w:val="0034133A"/>
    <w:rsid w:val="00351F71"/>
    <w:rsid w:val="003618EE"/>
    <w:rsid w:val="0037492F"/>
    <w:rsid w:val="003871DF"/>
    <w:rsid w:val="00387328"/>
    <w:rsid w:val="003924A0"/>
    <w:rsid w:val="00392D83"/>
    <w:rsid w:val="00393C7D"/>
    <w:rsid w:val="003941A0"/>
    <w:rsid w:val="003958AC"/>
    <w:rsid w:val="00395A6F"/>
    <w:rsid w:val="003A1471"/>
    <w:rsid w:val="003A4DAC"/>
    <w:rsid w:val="003B76D4"/>
    <w:rsid w:val="003C2C5D"/>
    <w:rsid w:val="003C30A4"/>
    <w:rsid w:val="003C59B8"/>
    <w:rsid w:val="003D547F"/>
    <w:rsid w:val="003D7BC1"/>
    <w:rsid w:val="003F3FF0"/>
    <w:rsid w:val="004027F4"/>
    <w:rsid w:val="004114A3"/>
    <w:rsid w:val="00414E9B"/>
    <w:rsid w:val="004173BE"/>
    <w:rsid w:val="00425220"/>
    <w:rsid w:val="004326E9"/>
    <w:rsid w:val="0043537D"/>
    <w:rsid w:val="004353CB"/>
    <w:rsid w:val="00436E13"/>
    <w:rsid w:val="004564AF"/>
    <w:rsid w:val="00467B3D"/>
    <w:rsid w:val="00472525"/>
    <w:rsid w:val="00473A2B"/>
    <w:rsid w:val="004808AC"/>
    <w:rsid w:val="0048294D"/>
    <w:rsid w:val="00485663"/>
    <w:rsid w:val="004A2820"/>
    <w:rsid w:val="004A61A2"/>
    <w:rsid w:val="004A7FF7"/>
    <w:rsid w:val="004B1DD3"/>
    <w:rsid w:val="004B3518"/>
    <w:rsid w:val="004C0584"/>
    <w:rsid w:val="005076A7"/>
    <w:rsid w:val="005245CD"/>
    <w:rsid w:val="005246C4"/>
    <w:rsid w:val="005270D0"/>
    <w:rsid w:val="00534AF5"/>
    <w:rsid w:val="00541880"/>
    <w:rsid w:val="005501AE"/>
    <w:rsid w:val="00550B38"/>
    <w:rsid w:val="005545ED"/>
    <w:rsid w:val="00555C52"/>
    <w:rsid w:val="0057315C"/>
    <w:rsid w:val="0058018D"/>
    <w:rsid w:val="00587942"/>
    <w:rsid w:val="005A24DE"/>
    <w:rsid w:val="005A6606"/>
    <w:rsid w:val="005B1E6A"/>
    <w:rsid w:val="005B41C7"/>
    <w:rsid w:val="005E434A"/>
    <w:rsid w:val="005E5D68"/>
    <w:rsid w:val="005F349A"/>
    <w:rsid w:val="005F3B4B"/>
    <w:rsid w:val="00607F64"/>
    <w:rsid w:val="0061267E"/>
    <w:rsid w:val="00615E6B"/>
    <w:rsid w:val="00622B30"/>
    <w:rsid w:val="00633B91"/>
    <w:rsid w:val="00634567"/>
    <w:rsid w:val="00634ED9"/>
    <w:rsid w:val="00667B49"/>
    <w:rsid w:val="006705AC"/>
    <w:rsid w:val="00670C6E"/>
    <w:rsid w:val="0068522E"/>
    <w:rsid w:val="006951D8"/>
    <w:rsid w:val="006961CC"/>
    <w:rsid w:val="006B121E"/>
    <w:rsid w:val="006C011A"/>
    <w:rsid w:val="006C1E5C"/>
    <w:rsid w:val="006D6348"/>
    <w:rsid w:val="006F1072"/>
    <w:rsid w:val="006F3365"/>
    <w:rsid w:val="006F3DE2"/>
    <w:rsid w:val="006F5123"/>
    <w:rsid w:val="007074D5"/>
    <w:rsid w:val="007123C4"/>
    <w:rsid w:val="00716877"/>
    <w:rsid w:val="00730F3C"/>
    <w:rsid w:val="00736FEA"/>
    <w:rsid w:val="00745862"/>
    <w:rsid w:val="007557D5"/>
    <w:rsid w:val="0075626A"/>
    <w:rsid w:val="00760600"/>
    <w:rsid w:val="0076323D"/>
    <w:rsid w:val="00763FEE"/>
    <w:rsid w:val="00766A9C"/>
    <w:rsid w:val="00773610"/>
    <w:rsid w:val="00791E33"/>
    <w:rsid w:val="007953B8"/>
    <w:rsid w:val="007A12AB"/>
    <w:rsid w:val="007B0900"/>
    <w:rsid w:val="007F5090"/>
    <w:rsid w:val="00806CB6"/>
    <w:rsid w:val="00814007"/>
    <w:rsid w:val="00816BAC"/>
    <w:rsid w:val="00816FAE"/>
    <w:rsid w:val="00817643"/>
    <w:rsid w:val="008306C1"/>
    <w:rsid w:val="00840114"/>
    <w:rsid w:val="008437AB"/>
    <w:rsid w:val="00876E95"/>
    <w:rsid w:val="00884D95"/>
    <w:rsid w:val="00897381"/>
    <w:rsid w:val="008A3E25"/>
    <w:rsid w:val="008B1E41"/>
    <w:rsid w:val="008B239B"/>
    <w:rsid w:val="008C3D8D"/>
    <w:rsid w:val="008D28D5"/>
    <w:rsid w:val="008D5DD5"/>
    <w:rsid w:val="008E34F0"/>
    <w:rsid w:val="008F4BF3"/>
    <w:rsid w:val="00901571"/>
    <w:rsid w:val="0090225D"/>
    <w:rsid w:val="0090286F"/>
    <w:rsid w:val="0090343E"/>
    <w:rsid w:val="00906AF2"/>
    <w:rsid w:val="009143EB"/>
    <w:rsid w:val="009501E0"/>
    <w:rsid w:val="00974D24"/>
    <w:rsid w:val="009779BD"/>
    <w:rsid w:val="009A082A"/>
    <w:rsid w:val="009A1367"/>
    <w:rsid w:val="009A5967"/>
    <w:rsid w:val="009C51E6"/>
    <w:rsid w:val="009C5DA1"/>
    <w:rsid w:val="009C79C4"/>
    <w:rsid w:val="009C7ED5"/>
    <w:rsid w:val="009D14F4"/>
    <w:rsid w:val="009D6EA3"/>
    <w:rsid w:val="009F21DD"/>
    <w:rsid w:val="00A040A4"/>
    <w:rsid w:val="00A06228"/>
    <w:rsid w:val="00A06F36"/>
    <w:rsid w:val="00A070D5"/>
    <w:rsid w:val="00A11363"/>
    <w:rsid w:val="00A14ED8"/>
    <w:rsid w:val="00A15D83"/>
    <w:rsid w:val="00A17BD4"/>
    <w:rsid w:val="00A23A37"/>
    <w:rsid w:val="00A23F61"/>
    <w:rsid w:val="00A3396A"/>
    <w:rsid w:val="00A4063C"/>
    <w:rsid w:val="00A4103B"/>
    <w:rsid w:val="00A51859"/>
    <w:rsid w:val="00A51E9B"/>
    <w:rsid w:val="00A567E9"/>
    <w:rsid w:val="00A56D5E"/>
    <w:rsid w:val="00A57EC3"/>
    <w:rsid w:val="00A812DD"/>
    <w:rsid w:val="00A97B79"/>
    <w:rsid w:val="00AA3AB9"/>
    <w:rsid w:val="00AA7FDD"/>
    <w:rsid w:val="00AC59BD"/>
    <w:rsid w:val="00AF2FCC"/>
    <w:rsid w:val="00B101BF"/>
    <w:rsid w:val="00B12ECF"/>
    <w:rsid w:val="00B13AC1"/>
    <w:rsid w:val="00B35927"/>
    <w:rsid w:val="00B44AC2"/>
    <w:rsid w:val="00B562B9"/>
    <w:rsid w:val="00B71E77"/>
    <w:rsid w:val="00B878A3"/>
    <w:rsid w:val="00B92E79"/>
    <w:rsid w:val="00B9699C"/>
    <w:rsid w:val="00BA4C1B"/>
    <w:rsid w:val="00BC1ADC"/>
    <w:rsid w:val="00BC6D66"/>
    <w:rsid w:val="00BD2018"/>
    <w:rsid w:val="00BD6564"/>
    <w:rsid w:val="00BD793C"/>
    <w:rsid w:val="00BE337A"/>
    <w:rsid w:val="00BF4DDB"/>
    <w:rsid w:val="00BF7E34"/>
    <w:rsid w:val="00C03193"/>
    <w:rsid w:val="00C22351"/>
    <w:rsid w:val="00C26B18"/>
    <w:rsid w:val="00C27CC2"/>
    <w:rsid w:val="00C351F4"/>
    <w:rsid w:val="00C728FF"/>
    <w:rsid w:val="00C819D5"/>
    <w:rsid w:val="00C90CB8"/>
    <w:rsid w:val="00C922CD"/>
    <w:rsid w:val="00CA787F"/>
    <w:rsid w:val="00CB3FA9"/>
    <w:rsid w:val="00CB4629"/>
    <w:rsid w:val="00CD676B"/>
    <w:rsid w:val="00CE235D"/>
    <w:rsid w:val="00D05673"/>
    <w:rsid w:val="00D06783"/>
    <w:rsid w:val="00D22103"/>
    <w:rsid w:val="00D2442C"/>
    <w:rsid w:val="00D26F12"/>
    <w:rsid w:val="00D3214E"/>
    <w:rsid w:val="00D42A5E"/>
    <w:rsid w:val="00D64337"/>
    <w:rsid w:val="00D75958"/>
    <w:rsid w:val="00DA2D75"/>
    <w:rsid w:val="00DA6DEF"/>
    <w:rsid w:val="00DB078B"/>
    <w:rsid w:val="00DD30FC"/>
    <w:rsid w:val="00DE4AF5"/>
    <w:rsid w:val="00DF5B9C"/>
    <w:rsid w:val="00DF646D"/>
    <w:rsid w:val="00E00267"/>
    <w:rsid w:val="00E019E7"/>
    <w:rsid w:val="00E04CB2"/>
    <w:rsid w:val="00E15ED3"/>
    <w:rsid w:val="00E21CD1"/>
    <w:rsid w:val="00E22517"/>
    <w:rsid w:val="00E243BB"/>
    <w:rsid w:val="00E24EB1"/>
    <w:rsid w:val="00E37E27"/>
    <w:rsid w:val="00E42D75"/>
    <w:rsid w:val="00E44BA8"/>
    <w:rsid w:val="00E528CA"/>
    <w:rsid w:val="00E55826"/>
    <w:rsid w:val="00E5664F"/>
    <w:rsid w:val="00E6658D"/>
    <w:rsid w:val="00E80DEE"/>
    <w:rsid w:val="00E862C5"/>
    <w:rsid w:val="00E9542D"/>
    <w:rsid w:val="00E95AD7"/>
    <w:rsid w:val="00EA57E1"/>
    <w:rsid w:val="00EA7987"/>
    <w:rsid w:val="00EB3482"/>
    <w:rsid w:val="00EB4894"/>
    <w:rsid w:val="00EB4CCD"/>
    <w:rsid w:val="00EB732C"/>
    <w:rsid w:val="00EC4CEF"/>
    <w:rsid w:val="00EC5FFE"/>
    <w:rsid w:val="00ED6491"/>
    <w:rsid w:val="00EE4EFB"/>
    <w:rsid w:val="00EF1DAD"/>
    <w:rsid w:val="00EF322A"/>
    <w:rsid w:val="00F62CBF"/>
    <w:rsid w:val="00F6324A"/>
    <w:rsid w:val="00F70083"/>
    <w:rsid w:val="00F70853"/>
    <w:rsid w:val="00F7608B"/>
    <w:rsid w:val="00F80473"/>
    <w:rsid w:val="00F804BA"/>
    <w:rsid w:val="00F85B29"/>
    <w:rsid w:val="00F86CD8"/>
    <w:rsid w:val="00F93616"/>
    <w:rsid w:val="00F93EDA"/>
    <w:rsid w:val="00FA39E5"/>
    <w:rsid w:val="00FC2838"/>
    <w:rsid w:val="00FC6C88"/>
    <w:rsid w:val="00FD4FDC"/>
    <w:rsid w:val="00FD685D"/>
    <w:rsid w:val="00FD761B"/>
    <w:rsid w:val="00FE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63A0"/>
  <w15:chartTrackingRefBased/>
  <w15:docId w15:val="{7528E9A6-565C-4B34-9046-1C9E628D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2C"/>
    <w:rPr>
      <w:rFonts w:ascii="Verdana" w:hAnsi="Verdana"/>
      <w:sz w:val="20"/>
      <w:szCs w:val="20"/>
    </w:rPr>
  </w:style>
  <w:style w:type="paragraph" w:styleId="Heading1">
    <w:name w:val="heading 1"/>
    <w:basedOn w:val="Normal"/>
    <w:next w:val="Normal"/>
    <w:link w:val="Heading1Char"/>
    <w:uiPriority w:val="9"/>
    <w:qFormat/>
    <w:rsid w:val="00AA7FDD"/>
    <w:pPr>
      <w:keepNext/>
      <w:keepLines/>
      <w:spacing w:before="240" w:after="0"/>
      <w:jc w:val="center"/>
      <w:outlineLvl w:val="0"/>
    </w:pPr>
    <w:rPr>
      <w:rFonts w:eastAsia="Times New Roman"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2D75"/>
    <w:pPr>
      <w:outlineLvl w:val="1"/>
    </w:pPr>
    <w:rPr>
      <w:i/>
      <w:iCs/>
      <w:u w:val="single"/>
    </w:rPr>
  </w:style>
  <w:style w:type="paragraph" w:styleId="Heading3">
    <w:name w:val="heading 3"/>
    <w:basedOn w:val="Normal"/>
    <w:next w:val="Normal"/>
    <w:link w:val="Heading3Char"/>
    <w:uiPriority w:val="9"/>
    <w:unhideWhenUsed/>
    <w:qFormat/>
    <w:rsid w:val="00351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FDD"/>
    <w:rPr>
      <w:rFonts w:ascii="Verdana" w:eastAsia="Times New Roman" w:hAnsi="Verdana" w:cstheme="majorBidi"/>
      <w:color w:val="2F5496" w:themeColor="accent1" w:themeShade="BF"/>
      <w:sz w:val="40"/>
      <w:szCs w:val="40"/>
    </w:rPr>
  </w:style>
  <w:style w:type="paragraph" w:styleId="NoSpacing">
    <w:name w:val="No Spacing"/>
    <w:basedOn w:val="Normal"/>
    <w:uiPriority w:val="1"/>
    <w:qFormat/>
    <w:rsid w:val="007F5090"/>
    <w:pPr>
      <w:shd w:val="clear" w:color="auto" w:fill="FFFFFE"/>
      <w:spacing w:after="0" w:line="240" w:lineRule="atLeast"/>
    </w:pPr>
    <w:rPr>
      <w:rFonts w:eastAsia="Times New Roman" w:cs="Times New Roman"/>
      <w:b/>
      <w:bCs/>
      <w:sz w:val="24"/>
      <w:szCs w:val="24"/>
      <w:u w:val="single"/>
    </w:rPr>
  </w:style>
  <w:style w:type="character" w:styleId="Hyperlink">
    <w:name w:val="Hyperlink"/>
    <w:basedOn w:val="DefaultParagraphFont"/>
    <w:uiPriority w:val="99"/>
    <w:unhideWhenUsed/>
    <w:rsid w:val="00C27CC2"/>
    <w:rPr>
      <w:color w:val="0000FF"/>
      <w:u w:val="single"/>
    </w:rPr>
  </w:style>
  <w:style w:type="character" w:styleId="UnresolvedMention">
    <w:name w:val="Unresolved Mention"/>
    <w:basedOn w:val="DefaultParagraphFont"/>
    <w:uiPriority w:val="99"/>
    <w:semiHidden/>
    <w:unhideWhenUsed/>
    <w:rsid w:val="00E862C5"/>
    <w:rPr>
      <w:color w:val="605E5C"/>
      <w:shd w:val="clear" w:color="auto" w:fill="E1DFDD"/>
    </w:rPr>
  </w:style>
  <w:style w:type="character" w:customStyle="1" w:styleId="Heading2Char">
    <w:name w:val="Heading 2 Char"/>
    <w:basedOn w:val="DefaultParagraphFont"/>
    <w:link w:val="Heading2"/>
    <w:uiPriority w:val="9"/>
    <w:rsid w:val="00DA2D75"/>
    <w:rPr>
      <w:rFonts w:ascii="Verdana" w:hAnsi="Verdana"/>
      <w:i/>
      <w:iCs/>
      <w:sz w:val="20"/>
      <w:szCs w:val="20"/>
      <w:u w:val="single"/>
    </w:rPr>
  </w:style>
  <w:style w:type="character" w:customStyle="1" w:styleId="Heading3Char">
    <w:name w:val="Heading 3 Char"/>
    <w:basedOn w:val="DefaultParagraphFont"/>
    <w:link w:val="Heading3"/>
    <w:uiPriority w:val="9"/>
    <w:rsid w:val="00351F7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22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7D3"/>
    <w:rPr>
      <w:b/>
      <w:bCs/>
    </w:rPr>
  </w:style>
  <w:style w:type="character" w:customStyle="1" w:styleId="selectable">
    <w:name w:val="selectable"/>
    <w:basedOn w:val="DefaultParagraphFont"/>
    <w:rsid w:val="002127D3"/>
  </w:style>
  <w:style w:type="paragraph" w:styleId="TOCHeading">
    <w:name w:val="TOC Heading"/>
    <w:basedOn w:val="Heading1"/>
    <w:next w:val="Normal"/>
    <w:uiPriority w:val="39"/>
    <w:unhideWhenUsed/>
    <w:qFormat/>
    <w:rsid w:val="003F3FF0"/>
    <w:pPr>
      <w:jc w:val="left"/>
      <w:outlineLvl w:val="9"/>
    </w:pPr>
    <w:rPr>
      <w:rFonts w:asciiTheme="majorHAnsi" w:eastAsiaTheme="majorEastAsia" w:hAnsiTheme="majorHAnsi"/>
      <w:sz w:val="32"/>
      <w:szCs w:val="32"/>
    </w:rPr>
  </w:style>
  <w:style w:type="paragraph" w:styleId="TOC1">
    <w:name w:val="toc 1"/>
    <w:basedOn w:val="Normal"/>
    <w:next w:val="Normal"/>
    <w:autoRedefine/>
    <w:uiPriority w:val="39"/>
    <w:unhideWhenUsed/>
    <w:rsid w:val="003F3FF0"/>
    <w:pPr>
      <w:spacing w:after="100"/>
    </w:pPr>
  </w:style>
  <w:style w:type="paragraph" w:styleId="TOC2">
    <w:name w:val="toc 2"/>
    <w:basedOn w:val="Normal"/>
    <w:next w:val="Normal"/>
    <w:autoRedefine/>
    <w:uiPriority w:val="39"/>
    <w:unhideWhenUsed/>
    <w:rsid w:val="003F3FF0"/>
    <w:pPr>
      <w:spacing w:after="100"/>
      <w:ind w:left="200"/>
    </w:pPr>
  </w:style>
  <w:style w:type="paragraph" w:styleId="TOC3">
    <w:name w:val="toc 3"/>
    <w:basedOn w:val="Normal"/>
    <w:next w:val="Normal"/>
    <w:autoRedefine/>
    <w:uiPriority w:val="39"/>
    <w:unhideWhenUsed/>
    <w:rsid w:val="003F3F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622">
      <w:bodyDiv w:val="1"/>
      <w:marLeft w:val="0"/>
      <w:marRight w:val="0"/>
      <w:marTop w:val="0"/>
      <w:marBottom w:val="0"/>
      <w:divBdr>
        <w:top w:val="none" w:sz="0" w:space="0" w:color="auto"/>
        <w:left w:val="none" w:sz="0" w:space="0" w:color="auto"/>
        <w:bottom w:val="none" w:sz="0" w:space="0" w:color="auto"/>
        <w:right w:val="none" w:sz="0" w:space="0" w:color="auto"/>
      </w:divBdr>
    </w:div>
    <w:div w:id="250093055">
      <w:bodyDiv w:val="1"/>
      <w:marLeft w:val="0"/>
      <w:marRight w:val="0"/>
      <w:marTop w:val="0"/>
      <w:marBottom w:val="0"/>
      <w:divBdr>
        <w:top w:val="none" w:sz="0" w:space="0" w:color="auto"/>
        <w:left w:val="none" w:sz="0" w:space="0" w:color="auto"/>
        <w:bottom w:val="none" w:sz="0" w:space="0" w:color="auto"/>
        <w:right w:val="none" w:sz="0" w:space="0" w:color="auto"/>
      </w:divBdr>
      <w:divsChild>
        <w:div w:id="2124953561">
          <w:marLeft w:val="0"/>
          <w:marRight w:val="0"/>
          <w:marTop w:val="0"/>
          <w:marBottom w:val="0"/>
          <w:divBdr>
            <w:top w:val="none" w:sz="0" w:space="0" w:color="auto"/>
            <w:left w:val="none" w:sz="0" w:space="0" w:color="auto"/>
            <w:bottom w:val="none" w:sz="0" w:space="0" w:color="auto"/>
            <w:right w:val="none" w:sz="0" w:space="0" w:color="auto"/>
          </w:divBdr>
          <w:divsChild>
            <w:div w:id="993531173">
              <w:marLeft w:val="0"/>
              <w:marRight w:val="0"/>
              <w:marTop w:val="0"/>
              <w:marBottom w:val="0"/>
              <w:divBdr>
                <w:top w:val="none" w:sz="0" w:space="0" w:color="auto"/>
                <w:left w:val="none" w:sz="0" w:space="0" w:color="auto"/>
                <w:bottom w:val="none" w:sz="0" w:space="0" w:color="auto"/>
                <w:right w:val="none" w:sz="0" w:space="0" w:color="auto"/>
              </w:divBdr>
            </w:div>
            <w:div w:id="1300383300">
              <w:marLeft w:val="0"/>
              <w:marRight w:val="0"/>
              <w:marTop w:val="0"/>
              <w:marBottom w:val="0"/>
              <w:divBdr>
                <w:top w:val="none" w:sz="0" w:space="0" w:color="auto"/>
                <w:left w:val="none" w:sz="0" w:space="0" w:color="auto"/>
                <w:bottom w:val="none" w:sz="0" w:space="0" w:color="auto"/>
                <w:right w:val="none" w:sz="0" w:space="0" w:color="auto"/>
              </w:divBdr>
            </w:div>
            <w:div w:id="795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410">
      <w:bodyDiv w:val="1"/>
      <w:marLeft w:val="0"/>
      <w:marRight w:val="0"/>
      <w:marTop w:val="0"/>
      <w:marBottom w:val="0"/>
      <w:divBdr>
        <w:top w:val="none" w:sz="0" w:space="0" w:color="auto"/>
        <w:left w:val="none" w:sz="0" w:space="0" w:color="auto"/>
        <w:bottom w:val="none" w:sz="0" w:space="0" w:color="auto"/>
        <w:right w:val="none" w:sz="0" w:space="0" w:color="auto"/>
      </w:divBdr>
      <w:divsChild>
        <w:div w:id="1182667101">
          <w:marLeft w:val="0"/>
          <w:marRight w:val="0"/>
          <w:marTop w:val="0"/>
          <w:marBottom w:val="0"/>
          <w:divBdr>
            <w:top w:val="none" w:sz="0" w:space="0" w:color="auto"/>
            <w:left w:val="none" w:sz="0" w:space="0" w:color="auto"/>
            <w:bottom w:val="none" w:sz="0" w:space="0" w:color="auto"/>
            <w:right w:val="none" w:sz="0" w:space="0" w:color="auto"/>
          </w:divBdr>
          <w:divsChild>
            <w:div w:id="2115708666">
              <w:marLeft w:val="0"/>
              <w:marRight w:val="0"/>
              <w:marTop w:val="0"/>
              <w:marBottom w:val="0"/>
              <w:divBdr>
                <w:top w:val="none" w:sz="0" w:space="0" w:color="auto"/>
                <w:left w:val="none" w:sz="0" w:space="0" w:color="auto"/>
                <w:bottom w:val="none" w:sz="0" w:space="0" w:color="auto"/>
                <w:right w:val="none" w:sz="0" w:space="0" w:color="auto"/>
              </w:divBdr>
            </w:div>
            <w:div w:id="1656181136">
              <w:marLeft w:val="0"/>
              <w:marRight w:val="0"/>
              <w:marTop w:val="0"/>
              <w:marBottom w:val="0"/>
              <w:divBdr>
                <w:top w:val="none" w:sz="0" w:space="0" w:color="auto"/>
                <w:left w:val="none" w:sz="0" w:space="0" w:color="auto"/>
                <w:bottom w:val="none" w:sz="0" w:space="0" w:color="auto"/>
                <w:right w:val="none" w:sz="0" w:space="0" w:color="auto"/>
              </w:divBdr>
            </w:div>
            <w:div w:id="429083543">
              <w:marLeft w:val="0"/>
              <w:marRight w:val="0"/>
              <w:marTop w:val="0"/>
              <w:marBottom w:val="0"/>
              <w:divBdr>
                <w:top w:val="none" w:sz="0" w:space="0" w:color="auto"/>
                <w:left w:val="none" w:sz="0" w:space="0" w:color="auto"/>
                <w:bottom w:val="none" w:sz="0" w:space="0" w:color="auto"/>
                <w:right w:val="none" w:sz="0" w:space="0" w:color="auto"/>
              </w:divBdr>
            </w:div>
            <w:div w:id="1944536295">
              <w:marLeft w:val="0"/>
              <w:marRight w:val="0"/>
              <w:marTop w:val="0"/>
              <w:marBottom w:val="0"/>
              <w:divBdr>
                <w:top w:val="none" w:sz="0" w:space="0" w:color="auto"/>
                <w:left w:val="none" w:sz="0" w:space="0" w:color="auto"/>
                <w:bottom w:val="none" w:sz="0" w:space="0" w:color="auto"/>
                <w:right w:val="none" w:sz="0" w:space="0" w:color="auto"/>
              </w:divBdr>
            </w:div>
            <w:div w:id="1648632418">
              <w:marLeft w:val="0"/>
              <w:marRight w:val="0"/>
              <w:marTop w:val="0"/>
              <w:marBottom w:val="0"/>
              <w:divBdr>
                <w:top w:val="none" w:sz="0" w:space="0" w:color="auto"/>
                <w:left w:val="none" w:sz="0" w:space="0" w:color="auto"/>
                <w:bottom w:val="none" w:sz="0" w:space="0" w:color="auto"/>
                <w:right w:val="none" w:sz="0" w:space="0" w:color="auto"/>
              </w:divBdr>
            </w:div>
            <w:div w:id="687176565">
              <w:marLeft w:val="0"/>
              <w:marRight w:val="0"/>
              <w:marTop w:val="0"/>
              <w:marBottom w:val="0"/>
              <w:divBdr>
                <w:top w:val="none" w:sz="0" w:space="0" w:color="auto"/>
                <w:left w:val="none" w:sz="0" w:space="0" w:color="auto"/>
                <w:bottom w:val="none" w:sz="0" w:space="0" w:color="auto"/>
                <w:right w:val="none" w:sz="0" w:space="0" w:color="auto"/>
              </w:divBdr>
            </w:div>
            <w:div w:id="1908301414">
              <w:marLeft w:val="0"/>
              <w:marRight w:val="0"/>
              <w:marTop w:val="0"/>
              <w:marBottom w:val="0"/>
              <w:divBdr>
                <w:top w:val="none" w:sz="0" w:space="0" w:color="auto"/>
                <w:left w:val="none" w:sz="0" w:space="0" w:color="auto"/>
                <w:bottom w:val="none" w:sz="0" w:space="0" w:color="auto"/>
                <w:right w:val="none" w:sz="0" w:space="0" w:color="auto"/>
              </w:divBdr>
            </w:div>
            <w:div w:id="174417767">
              <w:marLeft w:val="0"/>
              <w:marRight w:val="0"/>
              <w:marTop w:val="0"/>
              <w:marBottom w:val="0"/>
              <w:divBdr>
                <w:top w:val="none" w:sz="0" w:space="0" w:color="auto"/>
                <w:left w:val="none" w:sz="0" w:space="0" w:color="auto"/>
                <w:bottom w:val="none" w:sz="0" w:space="0" w:color="auto"/>
                <w:right w:val="none" w:sz="0" w:space="0" w:color="auto"/>
              </w:divBdr>
            </w:div>
            <w:div w:id="1999452711">
              <w:marLeft w:val="0"/>
              <w:marRight w:val="0"/>
              <w:marTop w:val="0"/>
              <w:marBottom w:val="0"/>
              <w:divBdr>
                <w:top w:val="none" w:sz="0" w:space="0" w:color="auto"/>
                <w:left w:val="none" w:sz="0" w:space="0" w:color="auto"/>
                <w:bottom w:val="none" w:sz="0" w:space="0" w:color="auto"/>
                <w:right w:val="none" w:sz="0" w:space="0" w:color="auto"/>
              </w:divBdr>
            </w:div>
            <w:div w:id="25957825">
              <w:marLeft w:val="0"/>
              <w:marRight w:val="0"/>
              <w:marTop w:val="0"/>
              <w:marBottom w:val="0"/>
              <w:divBdr>
                <w:top w:val="none" w:sz="0" w:space="0" w:color="auto"/>
                <w:left w:val="none" w:sz="0" w:space="0" w:color="auto"/>
                <w:bottom w:val="none" w:sz="0" w:space="0" w:color="auto"/>
                <w:right w:val="none" w:sz="0" w:space="0" w:color="auto"/>
              </w:divBdr>
            </w:div>
            <w:div w:id="339738652">
              <w:marLeft w:val="0"/>
              <w:marRight w:val="0"/>
              <w:marTop w:val="0"/>
              <w:marBottom w:val="0"/>
              <w:divBdr>
                <w:top w:val="none" w:sz="0" w:space="0" w:color="auto"/>
                <w:left w:val="none" w:sz="0" w:space="0" w:color="auto"/>
                <w:bottom w:val="none" w:sz="0" w:space="0" w:color="auto"/>
                <w:right w:val="none" w:sz="0" w:space="0" w:color="auto"/>
              </w:divBdr>
            </w:div>
            <w:div w:id="710347010">
              <w:marLeft w:val="0"/>
              <w:marRight w:val="0"/>
              <w:marTop w:val="0"/>
              <w:marBottom w:val="0"/>
              <w:divBdr>
                <w:top w:val="none" w:sz="0" w:space="0" w:color="auto"/>
                <w:left w:val="none" w:sz="0" w:space="0" w:color="auto"/>
                <w:bottom w:val="none" w:sz="0" w:space="0" w:color="auto"/>
                <w:right w:val="none" w:sz="0" w:space="0" w:color="auto"/>
              </w:divBdr>
            </w:div>
            <w:div w:id="601956598">
              <w:marLeft w:val="0"/>
              <w:marRight w:val="0"/>
              <w:marTop w:val="0"/>
              <w:marBottom w:val="0"/>
              <w:divBdr>
                <w:top w:val="none" w:sz="0" w:space="0" w:color="auto"/>
                <w:left w:val="none" w:sz="0" w:space="0" w:color="auto"/>
                <w:bottom w:val="none" w:sz="0" w:space="0" w:color="auto"/>
                <w:right w:val="none" w:sz="0" w:space="0" w:color="auto"/>
              </w:divBdr>
            </w:div>
            <w:div w:id="538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1205">
      <w:bodyDiv w:val="1"/>
      <w:marLeft w:val="0"/>
      <w:marRight w:val="0"/>
      <w:marTop w:val="0"/>
      <w:marBottom w:val="0"/>
      <w:divBdr>
        <w:top w:val="none" w:sz="0" w:space="0" w:color="auto"/>
        <w:left w:val="none" w:sz="0" w:space="0" w:color="auto"/>
        <w:bottom w:val="none" w:sz="0" w:space="0" w:color="auto"/>
        <w:right w:val="none" w:sz="0" w:space="0" w:color="auto"/>
      </w:divBdr>
      <w:divsChild>
        <w:div w:id="799231079">
          <w:marLeft w:val="0"/>
          <w:marRight w:val="0"/>
          <w:marTop w:val="0"/>
          <w:marBottom w:val="0"/>
          <w:divBdr>
            <w:top w:val="none" w:sz="0" w:space="0" w:color="auto"/>
            <w:left w:val="none" w:sz="0" w:space="0" w:color="auto"/>
            <w:bottom w:val="none" w:sz="0" w:space="0" w:color="auto"/>
            <w:right w:val="none" w:sz="0" w:space="0" w:color="auto"/>
          </w:divBdr>
          <w:divsChild>
            <w:div w:id="1807700098">
              <w:marLeft w:val="0"/>
              <w:marRight w:val="0"/>
              <w:marTop w:val="0"/>
              <w:marBottom w:val="0"/>
              <w:divBdr>
                <w:top w:val="none" w:sz="0" w:space="0" w:color="auto"/>
                <w:left w:val="none" w:sz="0" w:space="0" w:color="auto"/>
                <w:bottom w:val="none" w:sz="0" w:space="0" w:color="auto"/>
                <w:right w:val="none" w:sz="0" w:space="0" w:color="auto"/>
              </w:divBdr>
            </w:div>
            <w:div w:id="889078743">
              <w:marLeft w:val="0"/>
              <w:marRight w:val="0"/>
              <w:marTop w:val="0"/>
              <w:marBottom w:val="0"/>
              <w:divBdr>
                <w:top w:val="none" w:sz="0" w:space="0" w:color="auto"/>
                <w:left w:val="none" w:sz="0" w:space="0" w:color="auto"/>
                <w:bottom w:val="none" w:sz="0" w:space="0" w:color="auto"/>
                <w:right w:val="none" w:sz="0" w:space="0" w:color="auto"/>
              </w:divBdr>
            </w:div>
            <w:div w:id="981233914">
              <w:marLeft w:val="0"/>
              <w:marRight w:val="0"/>
              <w:marTop w:val="0"/>
              <w:marBottom w:val="0"/>
              <w:divBdr>
                <w:top w:val="none" w:sz="0" w:space="0" w:color="auto"/>
                <w:left w:val="none" w:sz="0" w:space="0" w:color="auto"/>
                <w:bottom w:val="none" w:sz="0" w:space="0" w:color="auto"/>
                <w:right w:val="none" w:sz="0" w:space="0" w:color="auto"/>
              </w:divBdr>
            </w:div>
            <w:div w:id="1486896851">
              <w:marLeft w:val="0"/>
              <w:marRight w:val="0"/>
              <w:marTop w:val="0"/>
              <w:marBottom w:val="0"/>
              <w:divBdr>
                <w:top w:val="none" w:sz="0" w:space="0" w:color="auto"/>
                <w:left w:val="none" w:sz="0" w:space="0" w:color="auto"/>
                <w:bottom w:val="none" w:sz="0" w:space="0" w:color="auto"/>
                <w:right w:val="none" w:sz="0" w:space="0" w:color="auto"/>
              </w:divBdr>
            </w:div>
            <w:div w:id="10408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837">
      <w:bodyDiv w:val="1"/>
      <w:marLeft w:val="0"/>
      <w:marRight w:val="0"/>
      <w:marTop w:val="0"/>
      <w:marBottom w:val="0"/>
      <w:divBdr>
        <w:top w:val="none" w:sz="0" w:space="0" w:color="auto"/>
        <w:left w:val="none" w:sz="0" w:space="0" w:color="auto"/>
        <w:bottom w:val="none" w:sz="0" w:space="0" w:color="auto"/>
        <w:right w:val="none" w:sz="0" w:space="0" w:color="auto"/>
      </w:divBdr>
      <w:divsChild>
        <w:div w:id="1886411303">
          <w:marLeft w:val="0"/>
          <w:marRight w:val="0"/>
          <w:marTop w:val="0"/>
          <w:marBottom w:val="0"/>
          <w:divBdr>
            <w:top w:val="none" w:sz="0" w:space="0" w:color="auto"/>
            <w:left w:val="none" w:sz="0" w:space="0" w:color="auto"/>
            <w:bottom w:val="none" w:sz="0" w:space="0" w:color="auto"/>
            <w:right w:val="none" w:sz="0" w:space="0" w:color="auto"/>
          </w:divBdr>
          <w:divsChild>
            <w:div w:id="1497921848">
              <w:marLeft w:val="0"/>
              <w:marRight w:val="0"/>
              <w:marTop w:val="0"/>
              <w:marBottom w:val="0"/>
              <w:divBdr>
                <w:top w:val="none" w:sz="0" w:space="0" w:color="auto"/>
                <w:left w:val="none" w:sz="0" w:space="0" w:color="auto"/>
                <w:bottom w:val="none" w:sz="0" w:space="0" w:color="auto"/>
                <w:right w:val="none" w:sz="0" w:space="0" w:color="auto"/>
              </w:divBdr>
            </w:div>
            <w:div w:id="328102431">
              <w:marLeft w:val="0"/>
              <w:marRight w:val="0"/>
              <w:marTop w:val="0"/>
              <w:marBottom w:val="0"/>
              <w:divBdr>
                <w:top w:val="none" w:sz="0" w:space="0" w:color="auto"/>
                <w:left w:val="none" w:sz="0" w:space="0" w:color="auto"/>
                <w:bottom w:val="none" w:sz="0" w:space="0" w:color="auto"/>
                <w:right w:val="none" w:sz="0" w:space="0" w:color="auto"/>
              </w:divBdr>
            </w:div>
            <w:div w:id="1049035261">
              <w:marLeft w:val="0"/>
              <w:marRight w:val="0"/>
              <w:marTop w:val="0"/>
              <w:marBottom w:val="0"/>
              <w:divBdr>
                <w:top w:val="none" w:sz="0" w:space="0" w:color="auto"/>
                <w:left w:val="none" w:sz="0" w:space="0" w:color="auto"/>
                <w:bottom w:val="none" w:sz="0" w:space="0" w:color="auto"/>
                <w:right w:val="none" w:sz="0" w:space="0" w:color="auto"/>
              </w:divBdr>
            </w:div>
            <w:div w:id="1648440475">
              <w:marLeft w:val="0"/>
              <w:marRight w:val="0"/>
              <w:marTop w:val="0"/>
              <w:marBottom w:val="0"/>
              <w:divBdr>
                <w:top w:val="none" w:sz="0" w:space="0" w:color="auto"/>
                <w:left w:val="none" w:sz="0" w:space="0" w:color="auto"/>
                <w:bottom w:val="none" w:sz="0" w:space="0" w:color="auto"/>
                <w:right w:val="none" w:sz="0" w:space="0" w:color="auto"/>
              </w:divBdr>
            </w:div>
            <w:div w:id="8474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4274">
      <w:bodyDiv w:val="1"/>
      <w:marLeft w:val="0"/>
      <w:marRight w:val="0"/>
      <w:marTop w:val="0"/>
      <w:marBottom w:val="0"/>
      <w:divBdr>
        <w:top w:val="none" w:sz="0" w:space="0" w:color="auto"/>
        <w:left w:val="none" w:sz="0" w:space="0" w:color="auto"/>
        <w:bottom w:val="none" w:sz="0" w:space="0" w:color="auto"/>
        <w:right w:val="none" w:sz="0" w:space="0" w:color="auto"/>
      </w:divBdr>
      <w:divsChild>
        <w:div w:id="1338846486">
          <w:marLeft w:val="0"/>
          <w:marRight w:val="0"/>
          <w:marTop w:val="0"/>
          <w:marBottom w:val="0"/>
          <w:divBdr>
            <w:top w:val="none" w:sz="0" w:space="0" w:color="auto"/>
            <w:left w:val="none" w:sz="0" w:space="0" w:color="auto"/>
            <w:bottom w:val="none" w:sz="0" w:space="0" w:color="auto"/>
            <w:right w:val="none" w:sz="0" w:space="0" w:color="auto"/>
          </w:divBdr>
          <w:divsChild>
            <w:div w:id="212349326">
              <w:marLeft w:val="0"/>
              <w:marRight w:val="0"/>
              <w:marTop w:val="0"/>
              <w:marBottom w:val="0"/>
              <w:divBdr>
                <w:top w:val="none" w:sz="0" w:space="0" w:color="auto"/>
                <w:left w:val="none" w:sz="0" w:space="0" w:color="auto"/>
                <w:bottom w:val="none" w:sz="0" w:space="0" w:color="auto"/>
                <w:right w:val="none" w:sz="0" w:space="0" w:color="auto"/>
              </w:divBdr>
            </w:div>
            <w:div w:id="877740521">
              <w:marLeft w:val="0"/>
              <w:marRight w:val="0"/>
              <w:marTop w:val="0"/>
              <w:marBottom w:val="0"/>
              <w:divBdr>
                <w:top w:val="none" w:sz="0" w:space="0" w:color="auto"/>
                <w:left w:val="none" w:sz="0" w:space="0" w:color="auto"/>
                <w:bottom w:val="none" w:sz="0" w:space="0" w:color="auto"/>
                <w:right w:val="none" w:sz="0" w:space="0" w:color="auto"/>
              </w:divBdr>
            </w:div>
            <w:div w:id="553930105">
              <w:marLeft w:val="0"/>
              <w:marRight w:val="0"/>
              <w:marTop w:val="0"/>
              <w:marBottom w:val="0"/>
              <w:divBdr>
                <w:top w:val="none" w:sz="0" w:space="0" w:color="auto"/>
                <w:left w:val="none" w:sz="0" w:space="0" w:color="auto"/>
                <w:bottom w:val="none" w:sz="0" w:space="0" w:color="auto"/>
                <w:right w:val="none" w:sz="0" w:space="0" w:color="auto"/>
              </w:divBdr>
            </w:div>
            <w:div w:id="766118418">
              <w:marLeft w:val="0"/>
              <w:marRight w:val="0"/>
              <w:marTop w:val="0"/>
              <w:marBottom w:val="0"/>
              <w:divBdr>
                <w:top w:val="none" w:sz="0" w:space="0" w:color="auto"/>
                <w:left w:val="none" w:sz="0" w:space="0" w:color="auto"/>
                <w:bottom w:val="none" w:sz="0" w:space="0" w:color="auto"/>
                <w:right w:val="none" w:sz="0" w:space="0" w:color="auto"/>
              </w:divBdr>
            </w:div>
            <w:div w:id="1915433463">
              <w:marLeft w:val="0"/>
              <w:marRight w:val="0"/>
              <w:marTop w:val="0"/>
              <w:marBottom w:val="0"/>
              <w:divBdr>
                <w:top w:val="none" w:sz="0" w:space="0" w:color="auto"/>
                <w:left w:val="none" w:sz="0" w:space="0" w:color="auto"/>
                <w:bottom w:val="none" w:sz="0" w:space="0" w:color="auto"/>
                <w:right w:val="none" w:sz="0" w:space="0" w:color="auto"/>
              </w:divBdr>
            </w:div>
            <w:div w:id="1511137838">
              <w:marLeft w:val="0"/>
              <w:marRight w:val="0"/>
              <w:marTop w:val="0"/>
              <w:marBottom w:val="0"/>
              <w:divBdr>
                <w:top w:val="none" w:sz="0" w:space="0" w:color="auto"/>
                <w:left w:val="none" w:sz="0" w:space="0" w:color="auto"/>
                <w:bottom w:val="none" w:sz="0" w:space="0" w:color="auto"/>
                <w:right w:val="none" w:sz="0" w:space="0" w:color="auto"/>
              </w:divBdr>
            </w:div>
            <w:div w:id="1647054113">
              <w:marLeft w:val="0"/>
              <w:marRight w:val="0"/>
              <w:marTop w:val="0"/>
              <w:marBottom w:val="0"/>
              <w:divBdr>
                <w:top w:val="none" w:sz="0" w:space="0" w:color="auto"/>
                <w:left w:val="none" w:sz="0" w:space="0" w:color="auto"/>
                <w:bottom w:val="none" w:sz="0" w:space="0" w:color="auto"/>
                <w:right w:val="none" w:sz="0" w:space="0" w:color="auto"/>
              </w:divBdr>
            </w:div>
            <w:div w:id="1117918674">
              <w:marLeft w:val="0"/>
              <w:marRight w:val="0"/>
              <w:marTop w:val="0"/>
              <w:marBottom w:val="0"/>
              <w:divBdr>
                <w:top w:val="none" w:sz="0" w:space="0" w:color="auto"/>
                <w:left w:val="none" w:sz="0" w:space="0" w:color="auto"/>
                <w:bottom w:val="none" w:sz="0" w:space="0" w:color="auto"/>
                <w:right w:val="none" w:sz="0" w:space="0" w:color="auto"/>
              </w:divBdr>
            </w:div>
            <w:div w:id="926380491">
              <w:marLeft w:val="0"/>
              <w:marRight w:val="0"/>
              <w:marTop w:val="0"/>
              <w:marBottom w:val="0"/>
              <w:divBdr>
                <w:top w:val="none" w:sz="0" w:space="0" w:color="auto"/>
                <w:left w:val="none" w:sz="0" w:space="0" w:color="auto"/>
                <w:bottom w:val="none" w:sz="0" w:space="0" w:color="auto"/>
                <w:right w:val="none" w:sz="0" w:space="0" w:color="auto"/>
              </w:divBdr>
            </w:div>
            <w:div w:id="777019100">
              <w:marLeft w:val="0"/>
              <w:marRight w:val="0"/>
              <w:marTop w:val="0"/>
              <w:marBottom w:val="0"/>
              <w:divBdr>
                <w:top w:val="none" w:sz="0" w:space="0" w:color="auto"/>
                <w:left w:val="none" w:sz="0" w:space="0" w:color="auto"/>
                <w:bottom w:val="none" w:sz="0" w:space="0" w:color="auto"/>
                <w:right w:val="none" w:sz="0" w:space="0" w:color="auto"/>
              </w:divBdr>
            </w:div>
            <w:div w:id="1151169215">
              <w:marLeft w:val="0"/>
              <w:marRight w:val="0"/>
              <w:marTop w:val="0"/>
              <w:marBottom w:val="0"/>
              <w:divBdr>
                <w:top w:val="none" w:sz="0" w:space="0" w:color="auto"/>
                <w:left w:val="none" w:sz="0" w:space="0" w:color="auto"/>
                <w:bottom w:val="none" w:sz="0" w:space="0" w:color="auto"/>
                <w:right w:val="none" w:sz="0" w:space="0" w:color="auto"/>
              </w:divBdr>
            </w:div>
            <w:div w:id="921719519">
              <w:marLeft w:val="0"/>
              <w:marRight w:val="0"/>
              <w:marTop w:val="0"/>
              <w:marBottom w:val="0"/>
              <w:divBdr>
                <w:top w:val="none" w:sz="0" w:space="0" w:color="auto"/>
                <w:left w:val="none" w:sz="0" w:space="0" w:color="auto"/>
                <w:bottom w:val="none" w:sz="0" w:space="0" w:color="auto"/>
                <w:right w:val="none" w:sz="0" w:space="0" w:color="auto"/>
              </w:divBdr>
            </w:div>
            <w:div w:id="1417749356">
              <w:marLeft w:val="0"/>
              <w:marRight w:val="0"/>
              <w:marTop w:val="0"/>
              <w:marBottom w:val="0"/>
              <w:divBdr>
                <w:top w:val="none" w:sz="0" w:space="0" w:color="auto"/>
                <w:left w:val="none" w:sz="0" w:space="0" w:color="auto"/>
                <w:bottom w:val="none" w:sz="0" w:space="0" w:color="auto"/>
                <w:right w:val="none" w:sz="0" w:space="0" w:color="auto"/>
              </w:divBdr>
            </w:div>
            <w:div w:id="114099153">
              <w:marLeft w:val="0"/>
              <w:marRight w:val="0"/>
              <w:marTop w:val="0"/>
              <w:marBottom w:val="0"/>
              <w:divBdr>
                <w:top w:val="none" w:sz="0" w:space="0" w:color="auto"/>
                <w:left w:val="none" w:sz="0" w:space="0" w:color="auto"/>
                <w:bottom w:val="none" w:sz="0" w:space="0" w:color="auto"/>
                <w:right w:val="none" w:sz="0" w:space="0" w:color="auto"/>
              </w:divBdr>
            </w:div>
            <w:div w:id="1750350510">
              <w:marLeft w:val="0"/>
              <w:marRight w:val="0"/>
              <w:marTop w:val="0"/>
              <w:marBottom w:val="0"/>
              <w:divBdr>
                <w:top w:val="none" w:sz="0" w:space="0" w:color="auto"/>
                <w:left w:val="none" w:sz="0" w:space="0" w:color="auto"/>
                <w:bottom w:val="none" w:sz="0" w:space="0" w:color="auto"/>
                <w:right w:val="none" w:sz="0" w:space="0" w:color="auto"/>
              </w:divBdr>
            </w:div>
            <w:div w:id="1015809273">
              <w:marLeft w:val="0"/>
              <w:marRight w:val="0"/>
              <w:marTop w:val="0"/>
              <w:marBottom w:val="0"/>
              <w:divBdr>
                <w:top w:val="none" w:sz="0" w:space="0" w:color="auto"/>
                <w:left w:val="none" w:sz="0" w:space="0" w:color="auto"/>
                <w:bottom w:val="none" w:sz="0" w:space="0" w:color="auto"/>
                <w:right w:val="none" w:sz="0" w:space="0" w:color="auto"/>
              </w:divBdr>
            </w:div>
            <w:div w:id="1494175958">
              <w:marLeft w:val="0"/>
              <w:marRight w:val="0"/>
              <w:marTop w:val="0"/>
              <w:marBottom w:val="0"/>
              <w:divBdr>
                <w:top w:val="none" w:sz="0" w:space="0" w:color="auto"/>
                <w:left w:val="none" w:sz="0" w:space="0" w:color="auto"/>
                <w:bottom w:val="none" w:sz="0" w:space="0" w:color="auto"/>
                <w:right w:val="none" w:sz="0" w:space="0" w:color="auto"/>
              </w:divBdr>
            </w:div>
            <w:div w:id="927494685">
              <w:marLeft w:val="0"/>
              <w:marRight w:val="0"/>
              <w:marTop w:val="0"/>
              <w:marBottom w:val="0"/>
              <w:divBdr>
                <w:top w:val="none" w:sz="0" w:space="0" w:color="auto"/>
                <w:left w:val="none" w:sz="0" w:space="0" w:color="auto"/>
                <w:bottom w:val="none" w:sz="0" w:space="0" w:color="auto"/>
                <w:right w:val="none" w:sz="0" w:space="0" w:color="auto"/>
              </w:divBdr>
            </w:div>
            <w:div w:id="1609702706">
              <w:marLeft w:val="0"/>
              <w:marRight w:val="0"/>
              <w:marTop w:val="0"/>
              <w:marBottom w:val="0"/>
              <w:divBdr>
                <w:top w:val="none" w:sz="0" w:space="0" w:color="auto"/>
                <w:left w:val="none" w:sz="0" w:space="0" w:color="auto"/>
                <w:bottom w:val="none" w:sz="0" w:space="0" w:color="auto"/>
                <w:right w:val="none" w:sz="0" w:space="0" w:color="auto"/>
              </w:divBdr>
            </w:div>
            <w:div w:id="620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5243">
      <w:bodyDiv w:val="1"/>
      <w:marLeft w:val="0"/>
      <w:marRight w:val="0"/>
      <w:marTop w:val="0"/>
      <w:marBottom w:val="0"/>
      <w:divBdr>
        <w:top w:val="none" w:sz="0" w:space="0" w:color="auto"/>
        <w:left w:val="none" w:sz="0" w:space="0" w:color="auto"/>
        <w:bottom w:val="none" w:sz="0" w:space="0" w:color="auto"/>
        <w:right w:val="none" w:sz="0" w:space="0" w:color="auto"/>
      </w:divBdr>
      <w:divsChild>
        <w:div w:id="349139994">
          <w:marLeft w:val="0"/>
          <w:marRight w:val="0"/>
          <w:marTop w:val="0"/>
          <w:marBottom w:val="0"/>
          <w:divBdr>
            <w:top w:val="none" w:sz="0" w:space="0" w:color="auto"/>
            <w:left w:val="none" w:sz="0" w:space="0" w:color="auto"/>
            <w:bottom w:val="none" w:sz="0" w:space="0" w:color="auto"/>
            <w:right w:val="none" w:sz="0" w:space="0" w:color="auto"/>
          </w:divBdr>
          <w:divsChild>
            <w:div w:id="656035049">
              <w:marLeft w:val="0"/>
              <w:marRight w:val="0"/>
              <w:marTop w:val="0"/>
              <w:marBottom w:val="0"/>
              <w:divBdr>
                <w:top w:val="none" w:sz="0" w:space="0" w:color="auto"/>
                <w:left w:val="none" w:sz="0" w:space="0" w:color="auto"/>
                <w:bottom w:val="none" w:sz="0" w:space="0" w:color="auto"/>
                <w:right w:val="none" w:sz="0" w:space="0" w:color="auto"/>
              </w:divBdr>
            </w:div>
            <w:div w:id="872576750">
              <w:marLeft w:val="0"/>
              <w:marRight w:val="0"/>
              <w:marTop w:val="0"/>
              <w:marBottom w:val="0"/>
              <w:divBdr>
                <w:top w:val="none" w:sz="0" w:space="0" w:color="auto"/>
                <w:left w:val="none" w:sz="0" w:space="0" w:color="auto"/>
                <w:bottom w:val="none" w:sz="0" w:space="0" w:color="auto"/>
                <w:right w:val="none" w:sz="0" w:space="0" w:color="auto"/>
              </w:divBdr>
            </w:div>
            <w:div w:id="808328873">
              <w:marLeft w:val="0"/>
              <w:marRight w:val="0"/>
              <w:marTop w:val="0"/>
              <w:marBottom w:val="0"/>
              <w:divBdr>
                <w:top w:val="none" w:sz="0" w:space="0" w:color="auto"/>
                <w:left w:val="none" w:sz="0" w:space="0" w:color="auto"/>
                <w:bottom w:val="none" w:sz="0" w:space="0" w:color="auto"/>
                <w:right w:val="none" w:sz="0" w:space="0" w:color="auto"/>
              </w:divBdr>
            </w:div>
            <w:div w:id="1400638240">
              <w:marLeft w:val="0"/>
              <w:marRight w:val="0"/>
              <w:marTop w:val="0"/>
              <w:marBottom w:val="0"/>
              <w:divBdr>
                <w:top w:val="none" w:sz="0" w:space="0" w:color="auto"/>
                <w:left w:val="none" w:sz="0" w:space="0" w:color="auto"/>
                <w:bottom w:val="none" w:sz="0" w:space="0" w:color="auto"/>
                <w:right w:val="none" w:sz="0" w:space="0" w:color="auto"/>
              </w:divBdr>
            </w:div>
            <w:div w:id="1378890150">
              <w:marLeft w:val="0"/>
              <w:marRight w:val="0"/>
              <w:marTop w:val="0"/>
              <w:marBottom w:val="0"/>
              <w:divBdr>
                <w:top w:val="none" w:sz="0" w:space="0" w:color="auto"/>
                <w:left w:val="none" w:sz="0" w:space="0" w:color="auto"/>
                <w:bottom w:val="none" w:sz="0" w:space="0" w:color="auto"/>
                <w:right w:val="none" w:sz="0" w:space="0" w:color="auto"/>
              </w:divBdr>
            </w:div>
            <w:div w:id="1057239522">
              <w:marLeft w:val="0"/>
              <w:marRight w:val="0"/>
              <w:marTop w:val="0"/>
              <w:marBottom w:val="0"/>
              <w:divBdr>
                <w:top w:val="none" w:sz="0" w:space="0" w:color="auto"/>
                <w:left w:val="none" w:sz="0" w:space="0" w:color="auto"/>
                <w:bottom w:val="none" w:sz="0" w:space="0" w:color="auto"/>
                <w:right w:val="none" w:sz="0" w:space="0" w:color="auto"/>
              </w:divBdr>
            </w:div>
            <w:div w:id="794568477">
              <w:marLeft w:val="0"/>
              <w:marRight w:val="0"/>
              <w:marTop w:val="0"/>
              <w:marBottom w:val="0"/>
              <w:divBdr>
                <w:top w:val="none" w:sz="0" w:space="0" w:color="auto"/>
                <w:left w:val="none" w:sz="0" w:space="0" w:color="auto"/>
                <w:bottom w:val="none" w:sz="0" w:space="0" w:color="auto"/>
                <w:right w:val="none" w:sz="0" w:space="0" w:color="auto"/>
              </w:divBdr>
            </w:div>
            <w:div w:id="208878110">
              <w:marLeft w:val="0"/>
              <w:marRight w:val="0"/>
              <w:marTop w:val="0"/>
              <w:marBottom w:val="0"/>
              <w:divBdr>
                <w:top w:val="none" w:sz="0" w:space="0" w:color="auto"/>
                <w:left w:val="none" w:sz="0" w:space="0" w:color="auto"/>
                <w:bottom w:val="none" w:sz="0" w:space="0" w:color="auto"/>
                <w:right w:val="none" w:sz="0" w:space="0" w:color="auto"/>
              </w:divBdr>
            </w:div>
            <w:div w:id="548230272">
              <w:marLeft w:val="0"/>
              <w:marRight w:val="0"/>
              <w:marTop w:val="0"/>
              <w:marBottom w:val="0"/>
              <w:divBdr>
                <w:top w:val="none" w:sz="0" w:space="0" w:color="auto"/>
                <w:left w:val="none" w:sz="0" w:space="0" w:color="auto"/>
                <w:bottom w:val="none" w:sz="0" w:space="0" w:color="auto"/>
                <w:right w:val="none" w:sz="0" w:space="0" w:color="auto"/>
              </w:divBdr>
            </w:div>
            <w:div w:id="1432123684">
              <w:marLeft w:val="0"/>
              <w:marRight w:val="0"/>
              <w:marTop w:val="0"/>
              <w:marBottom w:val="0"/>
              <w:divBdr>
                <w:top w:val="none" w:sz="0" w:space="0" w:color="auto"/>
                <w:left w:val="none" w:sz="0" w:space="0" w:color="auto"/>
                <w:bottom w:val="none" w:sz="0" w:space="0" w:color="auto"/>
                <w:right w:val="none" w:sz="0" w:space="0" w:color="auto"/>
              </w:divBdr>
            </w:div>
            <w:div w:id="2060669773">
              <w:marLeft w:val="0"/>
              <w:marRight w:val="0"/>
              <w:marTop w:val="0"/>
              <w:marBottom w:val="0"/>
              <w:divBdr>
                <w:top w:val="none" w:sz="0" w:space="0" w:color="auto"/>
                <w:left w:val="none" w:sz="0" w:space="0" w:color="auto"/>
                <w:bottom w:val="none" w:sz="0" w:space="0" w:color="auto"/>
                <w:right w:val="none" w:sz="0" w:space="0" w:color="auto"/>
              </w:divBdr>
            </w:div>
            <w:div w:id="1124468781">
              <w:marLeft w:val="0"/>
              <w:marRight w:val="0"/>
              <w:marTop w:val="0"/>
              <w:marBottom w:val="0"/>
              <w:divBdr>
                <w:top w:val="none" w:sz="0" w:space="0" w:color="auto"/>
                <w:left w:val="none" w:sz="0" w:space="0" w:color="auto"/>
                <w:bottom w:val="none" w:sz="0" w:space="0" w:color="auto"/>
                <w:right w:val="none" w:sz="0" w:space="0" w:color="auto"/>
              </w:divBdr>
            </w:div>
            <w:div w:id="871302446">
              <w:marLeft w:val="0"/>
              <w:marRight w:val="0"/>
              <w:marTop w:val="0"/>
              <w:marBottom w:val="0"/>
              <w:divBdr>
                <w:top w:val="none" w:sz="0" w:space="0" w:color="auto"/>
                <w:left w:val="none" w:sz="0" w:space="0" w:color="auto"/>
                <w:bottom w:val="none" w:sz="0" w:space="0" w:color="auto"/>
                <w:right w:val="none" w:sz="0" w:space="0" w:color="auto"/>
              </w:divBdr>
            </w:div>
            <w:div w:id="10622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5838">
      <w:bodyDiv w:val="1"/>
      <w:marLeft w:val="0"/>
      <w:marRight w:val="0"/>
      <w:marTop w:val="0"/>
      <w:marBottom w:val="0"/>
      <w:divBdr>
        <w:top w:val="none" w:sz="0" w:space="0" w:color="auto"/>
        <w:left w:val="none" w:sz="0" w:space="0" w:color="auto"/>
        <w:bottom w:val="none" w:sz="0" w:space="0" w:color="auto"/>
        <w:right w:val="none" w:sz="0" w:space="0" w:color="auto"/>
      </w:divBdr>
      <w:divsChild>
        <w:div w:id="1144203909">
          <w:marLeft w:val="0"/>
          <w:marRight w:val="0"/>
          <w:marTop w:val="0"/>
          <w:marBottom w:val="0"/>
          <w:divBdr>
            <w:top w:val="none" w:sz="0" w:space="0" w:color="auto"/>
            <w:left w:val="none" w:sz="0" w:space="0" w:color="auto"/>
            <w:bottom w:val="none" w:sz="0" w:space="0" w:color="auto"/>
            <w:right w:val="none" w:sz="0" w:space="0" w:color="auto"/>
          </w:divBdr>
          <w:divsChild>
            <w:div w:id="2042893408">
              <w:marLeft w:val="0"/>
              <w:marRight w:val="0"/>
              <w:marTop w:val="0"/>
              <w:marBottom w:val="0"/>
              <w:divBdr>
                <w:top w:val="none" w:sz="0" w:space="0" w:color="auto"/>
                <w:left w:val="none" w:sz="0" w:space="0" w:color="auto"/>
                <w:bottom w:val="none" w:sz="0" w:space="0" w:color="auto"/>
                <w:right w:val="none" w:sz="0" w:space="0" w:color="auto"/>
              </w:divBdr>
            </w:div>
            <w:div w:id="733699051">
              <w:marLeft w:val="0"/>
              <w:marRight w:val="0"/>
              <w:marTop w:val="0"/>
              <w:marBottom w:val="0"/>
              <w:divBdr>
                <w:top w:val="none" w:sz="0" w:space="0" w:color="auto"/>
                <w:left w:val="none" w:sz="0" w:space="0" w:color="auto"/>
                <w:bottom w:val="none" w:sz="0" w:space="0" w:color="auto"/>
                <w:right w:val="none" w:sz="0" w:space="0" w:color="auto"/>
              </w:divBdr>
            </w:div>
            <w:div w:id="1770539260">
              <w:marLeft w:val="0"/>
              <w:marRight w:val="0"/>
              <w:marTop w:val="0"/>
              <w:marBottom w:val="0"/>
              <w:divBdr>
                <w:top w:val="none" w:sz="0" w:space="0" w:color="auto"/>
                <w:left w:val="none" w:sz="0" w:space="0" w:color="auto"/>
                <w:bottom w:val="none" w:sz="0" w:space="0" w:color="auto"/>
                <w:right w:val="none" w:sz="0" w:space="0" w:color="auto"/>
              </w:divBdr>
            </w:div>
            <w:div w:id="2189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244">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2">
          <w:marLeft w:val="0"/>
          <w:marRight w:val="0"/>
          <w:marTop w:val="0"/>
          <w:marBottom w:val="0"/>
          <w:divBdr>
            <w:top w:val="none" w:sz="0" w:space="0" w:color="auto"/>
            <w:left w:val="none" w:sz="0" w:space="0" w:color="auto"/>
            <w:bottom w:val="none" w:sz="0" w:space="0" w:color="auto"/>
            <w:right w:val="none" w:sz="0" w:space="0" w:color="auto"/>
          </w:divBdr>
          <w:divsChild>
            <w:div w:id="1237934263">
              <w:marLeft w:val="0"/>
              <w:marRight w:val="0"/>
              <w:marTop w:val="0"/>
              <w:marBottom w:val="0"/>
              <w:divBdr>
                <w:top w:val="none" w:sz="0" w:space="0" w:color="auto"/>
                <w:left w:val="none" w:sz="0" w:space="0" w:color="auto"/>
                <w:bottom w:val="none" w:sz="0" w:space="0" w:color="auto"/>
                <w:right w:val="none" w:sz="0" w:space="0" w:color="auto"/>
              </w:divBdr>
            </w:div>
            <w:div w:id="1901867429">
              <w:marLeft w:val="0"/>
              <w:marRight w:val="0"/>
              <w:marTop w:val="0"/>
              <w:marBottom w:val="0"/>
              <w:divBdr>
                <w:top w:val="none" w:sz="0" w:space="0" w:color="auto"/>
                <w:left w:val="none" w:sz="0" w:space="0" w:color="auto"/>
                <w:bottom w:val="none" w:sz="0" w:space="0" w:color="auto"/>
                <w:right w:val="none" w:sz="0" w:space="0" w:color="auto"/>
              </w:divBdr>
            </w:div>
            <w:div w:id="728919461">
              <w:marLeft w:val="0"/>
              <w:marRight w:val="0"/>
              <w:marTop w:val="0"/>
              <w:marBottom w:val="0"/>
              <w:divBdr>
                <w:top w:val="none" w:sz="0" w:space="0" w:color="auto"/>
                <w:left w:val="none" w:sz="0" w:space="0" w:color="auto"/>
                <w:bottom w:val="none" w:sz="0" w:space="0" w:color="auto"/>
                <w:right w:val="none" w:sz="0" w:space="0" w:color="auto"/>
              </w:divBdr>
            </w:div>
            <w:div w:id="1907303930">
              <w:marLeft w:val="0"/>
              <w:marRight w:val="0"/>
              <w:marTop w:val="0"/>
              <w:marBottom w:val="0"/>
              <w:divBdr>
                <w:top w:val="none" w:sz="0" w:space="0" w:color="auto"/>
                <w:left w:val="none" w:sz="0" w:space="0" w:color="auto"/>
                <w:bottom w:val="none" w:sz="0" w:space="0" w:color="auto"/>
                <w:right w:val="none" w:sz="0" w:space="0" w:color="auto"/>
              </w:divBdr>
            </w:div>
            <w:div w:id="304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088">
      <w:bodyDiv w:val="1"/>
      <w:marLeft w:val="0"/>
      <w:marRight w:val="0"/>
      <w:marTop w:val="0"/>
      <w:marBottom w:val="0"/>
      <w:divBdr>
        <w:top w:val="none" w:sz="0" w:space="0" w:color="auto"/>
        <w:left w:val="none" w:sz="0" w:space="0" w:color="auto"/>
        <w:bottom w:val="none" w:sz="0" w:space="0" w:color="auto"/>
        <w:right w:val="none" w:sz="0" w:space="0" w:color="auto"/>
      </w:divBdr>
    </w:div>
    <w:div w:id="1224213594">
      <w:bodyDiv w:val="1"/>
      <w:marLeft w:val="0"/>
      <w:marRight w:val="0"/>
      <w:marTop w:val="0"/>
      <w:marBottom w:val="0"/>
      <w:divBdr>
        <w:top w:val="none" w:sz="0" w:space="0" w:color="auto"/>
        <w:left w:val="none" w:sz="0" w:space="0" w:color="auto"/>
        <w:bottom w:val="none" w:sz="0" w:space="0" w:color="auto"/>
        <w:right w:val="none" w:sz="0" w:space="0" w:color="auto"/>
      </w:divBdr>
      <w:divsChild>
        <w:div w:id="1645769584">
          <w:marLeft w:val="0"/>
          <w:marRight w:val="0"/>
          <w:marTop w:val="0"/>
          <w:marBottom w:val="0"/>
          <w:divBdr>
            <w:top w:val="none" w:sz="0" w:space="0" w:color="auto"/>
            <w:left w:val="none" w:sz="0" w:space="0" w:color="auto"/>
            <w:bottom w:val="none" w:sz="0" w:space="0" w:color="auto"/>
            <w:right w:val="none" w:sz="0" w:space="0" w:color="auto"/>
          </w:divBdr>
          <w:divsChild>
            <w:div w:id="187647599">
              <w:marLeft w:val="0"/>
              <w:marRight w:val="0"/>
              <w:marTop w:val="0"/>
              <w:marBottom w:val="0"/>
              <w:divBdr>
                <w:top w:val="none" w:sz="0" w:space="0" w:color="auto"/>
                <w:left w:val="none" w:sz="0" w:space="0" w:color="auto"/>
                <w:bottom w:val="none" w:sz="0" w:space="0" w:color="auto"/>
                <w:right w:val="none" w:sz="0" w:space="0" w:color="auto"/>
              </w:divBdr>
            </w:div>
            <w:div w:id="1015613414">
              <w:marLeft w:val="0"/>
              <w:marRight w:val="0"/>
              <w:marTop w:val="0"/>
              <w:marBottom w:val="0"/>
              <w:divBdr>
                <w:top w:val="none" w:sz="0" w:space="0" w:color="auto"/>
                <w:left w:val="none" w:sz="0" w:space="0" w:color="auto"/>
                <w:bottom w:val="none" w:sz="0" w:space="0" w:color="auto"/>
                <w:right w:val="none" w:sz="0" w:space="0" w:color="auto"/>
              </w:divBdr>
            </w:div>
            <w:div w:id="295375165">
              <w:marLeft w:val="0"/>
              <w:marRight w:val="0"/>
              <w:marTop w:val="0"/>
              <w:marBottom w:val="0"/>
              <w:divBdr>
                <w:top w:val="none" w:sz="0" w:space="0" w:color="auto"/>
                <w:left w:val="none" w:sz="0" w:space="0" w:color="auto"/>
                <w:bottom w:val="none" w:sz="0" w:space="0" w:color="auto"/>
                <w:right w:val="none" w:sz="0" w:space="0" w:color="auto"/>
              </w:divBdr>
            </w:div>
            <w:div w:id="1462188326">
              <w:marLeft w:val="0"/>
              <w:marRight w:val="0"/>
              <w:marTop w:val="0"/>
              <w:marBottom w:val="0"/>
              <w:divBdr>
                <w:top w:val="none" w:sz="0" w:space="0" w:color="auto"/>
                <w:left w:val="none" w:sz="0" w:space="0" w:color="auto"/>
                <w:bottom w:val="none" w:sz="0" w:space="0" w:color="auto"/>
                <w:right w:val="none" w:sz="0" w:space="0" w:color="auto"/>
              </w:divBdr>
            </w:div>
            <w:div w:id="18710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530">
      <w:bodyDiv w:val="1"/>
      <w:marLeft w:val="0"/>
      <w:marRight w:val="0"/>
      <w:marTop w:val="0"/>
      <w:marBottom w:val="0"/>
      <w:divBdr>
        <w:top w:val="none" w:sz="0" w:space="0" w:color="auto"/>
        <w:left w:val="none" w:sz="0" w:space="0" w:color="auto"/>
        <w:bottom w:val="none" w:sz="0" w:space="0" w:color="auto"/>
        <w:right w:val="none" w:sz="0" w:space="0" w:color="auto"/>
      </w:divBdr>
      <w:divsChild>
        <w:div w:id="387458483">
          <w:marLeft w:val="0"/>
          <w:marRight w:val="0"/>
          <w:marTop w:val="0"/>
          <w:marBottom w:val="0"/>
          <w:divBdr>
            <w:top w:val="none" w:sz="0" w:space="0" w:color="auto"/>
            <w:left w:val="none" w:sz="0" w:space="0" w:color="auto"/>
            <w:bottom w:val="none" w:sz="0" w:space="0" w:color="auto"/>
            <w:right w:val="none" w:sz="0" w:space="0" w:color="auto"/>
          </w:divBdr>
          <w:divsChild>
            <w:div w:id="543325894">
              <w:marLeft w:val="0"/>
              <w:marRight w:val="0"/>
              <w:marTop w:val="0"/>
              <w:marBottom w:val="0"/>
              <w:divBdr>
                <w:top w:val="none" w:sz="0" w:space="0" w:color="auto"/>
                <w:left w:val="none" w:sz="0" w:space="0" w:color="auto"/>
                <w:bottom w:val="none" w:sz="0" w:space="0" w:color="auto"/>
                <w:right w:val="none" w:sz="0" w:space="0" w:color="auto"/>
              </w:divBdr>
            </w:div>
            <w:div w:id="5271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929">
      <w:bodyDiv w:val="1"/>
      <w:marLeft w:val="0"/>
      <w:marRight w:val="0"/>
      <w:marTop w:val="0"/>
      <w:marBottom w:val="0"/>
      <w:divBdr>
        <w:top w:val="none" w:sz="0" w:space="0" w:color="auto"/>
        <w:left w:val="none" w:sz="0" w:space="0" w:color="auto"/>
        <w:bottom w:val="none" w:sz="0" w:space="0" w:color="auto"/>
        <w:right w:val="none" w:sz="0" w:space="0" w:color="auto"/>
      </w:divBdr>
    </w:div>
    <w:div w:id="1337535741">
      <w:bodyDiv w:val="1"/>
      <w:marLeft w:val="0"/>
      <w:marRight w:val="0"/>
      <w:marTop w:val="0"/>
      <w:marBottom w:val="0"/>
      <w:divBdr>
        <w:top w:val="none" w:sz="0" w:space="0" w:color="auto"/>
        <w:left w:val="none" w:sz="0" w:space="0" w:color="auto"/>
        <w:bottom w:val="none" w:sz="0" w:space="0" w:color="auto"/>
        <w:right w:val="none" w:sz="0" w:space="0" w:color="auto"/>
      </w:divBdr>
    </w:div>
    <w:div w:id="1360424828">
      <w:bodyDiv w:val="1"/>
      <w:marLeft w:val="0"/>
      <w:marRight w:val="0"/>
      <w:marTop w:val="0"/>
      <w:marBottom w:val="0"/>
      <w:divBdr>
        <w:top w:val="none" w:sz="0" w:space="0" w:color="auto"/>
        <w:left w:val="none" w:sz="0" w:space="0" w:color="auto"/>
        <w:bottom w:val="none" w:sz="0" w:space="0" w:color="auto"/>
        <w:right w:val="none" w:sz="0" w:space="0" w:color="auto"/>
      </w:divBdr>
      <w:divsChild>
        <w:div w:id="1130320267">
          <w:marLeft w:val="0"/>
          <w:marRight w:val="0"/>
          <w:marTop w:val="0"/>
          <w:marBottom w:val="0"/>
          <w:divBdr>
            <w:top w:val="none" w:sz="0" w:space="0" w:color="auto"/>
            <w:left w:val="none" w:sz="0" w:space="0" w:color="auto"/>
            <w:bottom w:val="none" w:sz="0" w:space="0" w:color="auto"/>
            <w:right w:val="none" w:sz="0" w:space="0" w:color="auto"/>
          </w:divBdr>
          <w:divsChild>
            <w:div w:id="1294288534">
              <w:marLeft w:val="0"/>
              <w:marRight w:val="0"/>
              <w:marTop w:val="0"/>
              <w:marBottom w:val="0"/>
              <w:divBdr>
                <w:top w:val="none" w:sz="0" w:space="0" w:color="auto"/>
                <w:left w:val="none" w:sz="0" w:space="0" w:color="auto"/>
                <w:bottom w:val="none" w:sz="0" w:space="0" w:color="auto"/>
                <w:right w:val="none" w:sz="0" w:space="0" w:color="auto"/>
              </w:divBdr>
            </w:div>
            <w:div w:id="288779660">
              <w:marLeft w:val="0"/>
              <w:marRight w:val="0"/>
              <w:marTop w:val="0"/>
              <w:marBottom w:val="0"/>
              <w:divBdr>
                <w:top w:val="none" w:sz="0" w:space="0" w:color="auto"/>
                <w:left w:val="none" w:sz="0" w:space="0" w:color="auto"/>
                <w:bottom w:val="none" w:sz="0" w:space="0" w:color="auto"/>
                <w:right w:val="none" w:sz="0" w:space="0" w:color="auto"/>
              </w:divBdr>
            </w:div>
            <w:div w:id="774640047">
              <w:marLeft w:val="0"/>
              <w:marRight w:val="0"/>
              <w:marTop w:val="0"/>
              <w:marBottom w:val="0"/>
              <w:divBdr>
                <w:top w:val="none" w:sz="0" w:space="0" w:color="auto"/>
                <w:left w:val="none" w:sz="0" w:space="0" w:color="auto"/>
                <w:bottom w:val="none" w:sz="0" w:space="0" w:color="auto"/>
                <w:right w:val="none" w:sz="0" w:space="0" w:color="auto"/>
              </w:divBdr>
            </w:div>
            <w:div w:id="25641682">
              <w:marLeft w:val="0"/>
              <w:marRight w:val="0"/>
              <w:marTop w:val="0"/>
              <w:marBottom w:val="0"/>
              <w:divBdr>
                <w:top w:val="none" w:sz="0" w:space="0" w:color="auto"/>
                <w:left w:val="none" w:sz="0" w:space="0" w:color="auto"/>
                <w:bottom w:val="none" w:sz="0" w:space="0" w:color="auto"/>
                <w:right w:val="none" w:sz="0" w:space="0" w:color="auto"/>
              </w:divBdr>
            </w:div>
            <w:div w:id="339742964">
              <w:marLeft w:val="0"/>
              <w:marRight w:val="0"/>
              <w:marTop w:val="0"/>
              <w:marBottom w:val="0"/>
              <w:divBdr>
                <w:top w:val="none" w:sz="0" w:space="0" w:color="auto"/>
                <w:left w:val="none" w:sz="0" w:space="0" w:color="auto"/>
                <w:bottom w:val="none" w:sz="0" w:space="0" w:color="auto"/>
                <w:right w:val="none" w:sz="0" w:space="0" w:color="auto"/>
              </w:divBdr>
            </w:div>
            <w:div w:id="2105883844">
              <w:marLeft w:val="0"/>
              <w:marRight w:val="0"/>
              <w:marTop w:val="0"/>
              <w:marBottom w:val="0"/>
              <w:divBdr>
                <w:top w:val="none" w:sz="0" w:space="0" w:color="auto"/>
                <w:left w:val="none" w:sz="0" w:space="0" w:color="auto"/>
                <w:bottom w:val="none" w:sz="0" w:space="0" w:color="auto"/>
                <w:right w:val="none" w:sz="0" w:space="0" w:color="auto"/>
              </w:divBdr>
            </w:div>
            <w:div w:id="8567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7826">
      <w:bodyDiv w:val="1"/>
      <w:marLeft w:val="0"/>
      <w:marRight w:val="0"/>
      <w:marTop w:val="0"/>
      <w:marBottom w:val="0"/>
      <w:divBdr>
        <w:top w:val="none" w:sz="0" w:space="0" w:color="auto"/>
        <w:left w:val="none" w:sz="0" w:space="0" w:color="auto"/>
        <w:bottom w:val="none" w:sz="0" w:space="0" w:color="auto"/>
        <w:right w:val="none" w:sz="0" w:space="0" w:color="auto"/>
      </w:divBdr>
    </w:div>
    <w:div w:id="1948388030">
      <w:bodyDiv w:val="1"/>
      <w:marLeft w:val="0"/>
      <w:marRight w:val="0"/>
      <w:marTop w:val="0"/>
      <w:marBottom w:val="0"/>
      <w:divBdr>
        <w:top w:val="none" w:sz="0" w:space="0" w:color="auto"/>
        <w:left w:val="none" w:sz="0" w:space="0" w:color="auto"/>
        <w:bottom w:val="none" w:sz="0" w:space="0" w:color="auto"/>
        <w:right w:val="none" w:sz="0" w:space="0" w:color="auto"/>
      </w:divBdr>
      <w:divsChild>
        <w:div w:id="684403968">
          <w:marLeft w:val="0"/>
          <w:marRight w:val="0"/>
          <w:marTop w:val="0"/>
          <w:marBottom w:val="0"/>
          <w:divBdr>
            <w:top w:val="none" w:sz="0" w:space="0" w:color="auto"/>
            <w:left w:val="none" w:sz="0" w:space="0" w:color="auto"/>
            <w:bottom w:val="none" w:sz="0" w:space="0" w:color="auto"/>
            <w:right w:val="none" w:sz="0" w:space="0" w:color="auto"/>
          </w:divBdr>
          <w:divsChild>
            <w:div w:id="677849481">
              <w:marLeft w:val="0"/>
              <w:marRight w:val="0"/>
              <w:marTop w:val="0"/>
              <w:marBottom w:val="0"/>
              <w:divBdr>
                <w:top w:val="none" w:sz="0" w:space="0" w:color="auto"/>
                <w:left w:val="none" w:sz="0" w:space="0" w:color="auto"/>
                <w:bottom w:val="none" w:sz="0" w:space="0" w:color="auto"/>
                <w:right w:val="none" w:sz="0" w:space="0" w:color="auto"/>
              </w:divBdr>
            </w:div>
            <w:div w:id="112798197">
              <w:marLeft w:val="0"/>
              <w:marRight w:val="0"/>
              <w:marTop w:val="0"/>
              <w:marBottom w:val="0"/>
              <w:divBdr>
                <w:top w:val="none" w:sz="0" w:space="0" w:color="auto"/>
                <w:left w:val="none" w:sz="0" w:space="0" w:color="auto"/>
                <w:bottom w:val="none" w:sz="0" w:space="0" w:color="auto"/>
                <w:right w:val="none" w:sz="0" w:space="0" w:color="auto"/>
              </w:divBdr>
            </w:div>
            <w:div w:id="493451074">
              <w:marLeft w:val="0"/>
              <w:marRight w:val="0"/>
              <w:marTop w:val="0"/>
              <w:marBottom w:val="0"/>
              <w:divBdr>
                <w:top w:val="none" w:sz="0" w:space="0" w:color="auto"/>
                <w:left w:val="none" w:sz="0" w:space="0" w:color="auto"/>
                <w:bottom w:val="none" w:sz="0" w:space="0" w:color="auto"/>
                <w:right w:val="none" w:sz="0" w:space="0" w:color="auto"/>
              </w:divBdr>
            </w:div>
            <w:div w:id="963541891">
              <w:marLeft w:val="0"/>
              <w:marRight w:val="0"/>
              <w:marTop w:val="0"/>
              <w:marBottom w:val="0"/>
              <w:divBdr>
                <w:top w:val="none" w:sz="0" w:space="0" w:color="auto"/>
                <w:left w:val="none" w:sz="0" w:space="0" w:color="auto"/>
                <w:bottom w:val="none" w:sz="0" w:space="0" w:color="auto"/>
                <w:right w:val="none" w:sz="0" w:space="0" w:color="auto"/>
              </w:divBdr>
            </w:div>
            <w:div w:id="14574029">
              <w:marLeft w:val="0"/>
              <w:marRight w:val="0"/>
              <w:marTop w:val="0"/>
              <w:marBottom w:val="0"/>
              <w:divBdr>
                <w:top w:val="none" w:sz="0" w:space="0" w:color="auto"/>
                <w:left w:val="none" w:sz="0" w:space="0" w:color="auto"/>
                <w:bottom w:val="none" w:sz="0" w:space="0" w:color="auto"/>
                <w:right w:val="none" w:sz="0" w:space="0" w:color="auto"/>
              </w:divBdr>
            </w:div>
            <w:div w:id="653877384">
              <w:marLeft w:val="0"/>
              <w:marRight w:val="0"/>
              <w:marTop w:val="0"/>
              <w:marBottom w:val="0"/>
              <w:divBdr>
                <w:top w:val="none" w:sz="0" w:space="0" w:color="auto"/>
                <w:left w:val="none" w:sz="0" w:space="0" w:color="auto"/>
                <w:bottom w:val="none" w:sz="0" w:space="0" w:color="auto"/>
                <w:right w:val="none" w:sz="0" w:space="0" w:color="auto"/>
              </w:divBdr>
            </w:div>
            <w:div w:id="1700351562">
              <w:marLeft w:val="0"/>
              <w:marRight w:val="0"/>
              <w:marTop w:val="0"/>
              <w:marBottom w:val="0"/>
              <w:divBdr>
                <w:top w:val="none" w:sz="0" w:space="0" w:color="auto"/>
                <w:left w:val="none" w:sz="0" w:space="0" w:color="auto"/>
                <w:bottom w:val="none" w:sz="0" w:space="0" w:color="auto"/>
                <w:right w:val="none" w:sz="0" w:space="0" w:color="auto"/>
              </w:divBdr>
            </w:div>
            <w:div w:id="147331316">
              <w:marLeft w:val="0"/>
              <w:marRight w:val="0"/>
              <w:marTop w:val="0"/>
              <w:marBottom w:val="0"/>
              <w:divBdr>
                <w:top w:val="none" w:sz="0" w:space="0" w:color="auto"/>
                <w:left w:val="none" w:sz="0" w:space="0" w:color="auto"/>
                <w:bottom w:val="none" w:sz="0" w:space="0" w:color="auto"/>
                <w:right w:val="none" w:sz="0" w:space="0" w:color="auto"/>
              </w:divBdr>
            </w:div>
            <w:div w:id="1193768847">
              <w:marLeft w:val="0"/>
              <w:marRight w:val="0"/>
              <w:marTop w:val="0"/>
              <w:marBottom w:val="0"/>
              <w:divBdr>
                <w:top w:val="none" w:sz="0" w:space="0" w:color="auto"/>
                <w:left w:val="none" w:sz="0" w:space="0" w:color="auto"/>
                <w:bottom w:val="none" w:sz="0" w:space="0" w:color="auto"/>
                <w:right w:val="none" w:sz="0" w:space="0" w:color="auto"/>
              </w:divBdr>
            </w:div>
            <w:div w:id="1401364421">
              <w:marLeft w:val="0"/>
              <w:marRight w:val="0"/>
              <w:marTop w:val="0"/>
              <w:marBottom w:val="0"/>
              <w:divBdr>
                <w:top w:val="none" w:sz="0" w:space="0" w:color="auto"/>
                <w:left w:val="none" w:sz="0" w:space="0" w:color="auto"/>
                <w:bottom w:val="none" w:sz="0" w:space="0" w:color="auto"/>
                <w:right w:val="none" w:sz="0" w:space="0" w:color="auto"/>
              </w:divBdr>
            </w:div>
            <w:div w:id="1813937918">
              <w:marLeft w:val="0"/>
              <w:marRight w:val="0"/>
              <w:marTop w:val="0"/>
              <w:marBottom w:val="0"/>
              <w:divBdr>
                <w:top w:val="none" w:sz="0" w:space="0" w:color="auto"/>
                <w:left w:val="none" w:sz="0" w:space="0" w:color="auto"/>
                <w:bottom w:val="none" w:sz="0" w:space="0" w:color="auto"/>
                <w:right w:val="none" w:sz="0" w:space="0" w:color="auto"/>
              </w:divBdr>
            </w:div>
            <w:div w:id="1981960016">
              <w:marLeft w:val="0"/>
              <w:marRight w:val="0"/>
              <w:marTop w:val="0"/>
              <w:marBottom w:val="0"/>
              <w:divBdr>
                <w:top w:val="none" w:sz="0" w:space="0" w:color="auto"/>
                <w:left w:val="none" w:sz="0" w:space="0" w:color="auto"/>
                <w:bottom w:val="none" w:sz="0" w:space="0" w:color="auto"/>
                <w:right w:val="none" w:sz="0" w:space="0" w:color="auto"/>
              </w:divBdr>
            </w:div>
            <w:div w:id="1181354312">
              <w:marLeft w:val="0"/>
              <w:marRight w:val="0"/>
              <w:marTop w:val="0"/>
              <w:marBottom w:val="0"/>
              <w:divBdr>
                <w:top w:val="none" w:sz="0" w:space="0" w:color="auto"/>
                <w:left w:val="none" w:sz="0" w:space="0" w:color="auto"/>
                <w:bottom w:val="none" w:sz="0" w:space="0" w:color="auto"/>
                <w:right w:val="none" w:sz="0" w:space="0" w:color="auto"/>
              </w:divBdr>
            </w:div>
            <w:div w:id="320699955">
              <w:marLeft w:val="0"/>
              <w:marRight w:val="0"/>
              <w:marTop w:val="0"/>
              <w:marBottom w:val="0"/>
              <w:divBdr>
                <w:top w:val="none" w:sz="0" w:space="0" w:color="auto"/>
                <w:left w:val="none" w:sz="0" w:space="0" w:color="auto"/>
                <w:bottom w:val="none" w:sz="0" w:space="0" w:color="auto"/>
                <w:right w:val="none" w:sz="0" w:space="0" w:color="auto"/>
              </w:divBdr>
            </w:div>
            <w:div w:id="476383460">
              <w:marLeft w:val="0"/>
              <w:marRight w:val="0"/>
              <w:marTop w:val="0"/>
              <w:marBottom w:val="0"/>
              <w:divBdr>
                <w:top w:val="none" w:sz="0" w:space="0" w:color="auto"/>
                <w:left w:val="none" w:sz="0" w:space="0" w:color="auto"/>
                <w:bottom w:val="none" w:sz="0" w:space="0" w:color="auto"/>
                <w:right w:val="none" w:sz="0" w:space="0" w:color="auto"/>
              </w:divBdr>
            </w:div>
            <w:div w:id="720246579">
              <w:marLeft w:val="0"/>
              <w:marRight w:val="0"/>
              <w:marTop w:val="0"/>
              <w:marBottom w:val="0"/>
              <w:divBdr>
                <w:top w:val="none" w:sz="0" w:space="0" w:color="auto"/>
                <w:left w:val="none" w:sz="0" w:space="0" w:color="auto"/>
                <w:bottom w:val="none" w:sz="0" w:space="0" w:color="auto"/>
                <w:right w:val="none" w:sz="0" w:space="0" w:color="auto"/>
              </w:divBdr>
            </w:div>
            <w:div w:id="65302900">
              <w:marLeft w:val="0"/>
              <w:marRight w:val="0"/>
              <w:marTop w:val="0"/>
              <w:marBottom w:val="0"/>
              <w:divBdr>
                <w:top w:val="none" w:sz="0" w:space="0" w:color="auto"/>
                <w:left w:val="none" w:sz="0" w:space="0" w:color="auto"/>
                <w:bottom w:val="none" w:sz="0" w:space="0" w:color="auto"/>
                <w:right w:val="none" w:sz="0" w:space="0" w:color="auto"/>
              </w:divBdr>
            </w:div>
            <w:div w:id="423915224">
              <w:marLeft w:val="0"/>
              <w:marRight w:val="0"/>
              <w:marTop w:val="0"/>
              <w:marBottom w:val="0"/>
              <w:divBdr>
                <w:top w:val="none" w:sz="0" w:space="0" w:color="auto"/>
                <w:left w:val="none" w:sz="0" w:space="0" w:color="auto"/>
                <w:bottom w:val="none" w:sz="0" w:space="0" w:color="auto"/>
                <w:right w:val="none" w:sz="0" w:space="0" w:color="auto"/>
              </w:divBdr>
            </w:div>
            <w:div w:id="2024089589">
              <w:marLeft w:val="0"/>
              <w:marRight w:val="0"/>
              <w:marTop w:val="0"/>
              <w:marBottom w:val="0"/>
              <w:divBdr>
                <w:top w:val="none" w:sz="0" w:space="0" w:color="auto"/>
                <w:left w:val="none" w:sz="0" w:space="0" w:color="auto"/>
                <w:bottom w:val="none" w:sz="0" w:space="0" w:color="auto"/>
                <w:right w:val="none" w:sz="0" w:space="0" w:color="auto"/>
              </w:divBdr>
            </w:div>
            <w:div w:id="1879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dinal.williams@cms.hhs.gov"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medicareproviderdata@cms.hhs.gov"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cwdata.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edicareproviderdata@cms.hhs.gov" TargetMode="External"/><Relationship Id="rId4" Type="http://schemas.openxmlformats.org/officeDocument/2006/relationships/settings" Target="settings.xml"/><Relationship Id="rId9" Type="http://schemas.openxmlformats.org/officeDocument/2006/relationships/hyperlink" Target="https://careset.com/datasets-3/hop-team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8591-7989-4742-A4C8-4D9B0D9C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Mann</dc:creator>
  <cp:keywords/>
  <dc:description/>
  <cp:lastModifiedBy>Tyler Mann</cp:lastModifiedBy>
  <cp:revision>283</cp:revision>
  <dcterms:created xsi:type="dcterms:W3CDTF">2021-04-12T11:26:00Z</dcterms:created>
  <dcterms:modified xsi:type="dcterms:W3CDTF">2021-04-12T23:18:00Z</dcterms:modified>
</cp:coreProperties>
</file>