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color w:val="C9A24B"/>
          <w:spacing w:val="60"/>
          <w:sz w:val="22"/>
          <w:szCs w:val="22"/>
        </w:rPr>
        <w:t xml:space="preserve">DOCUMENT DE CADRAGE PROJET</w:t>
      </w:r>
    </w:p>
    <w:p>
      <w:pPr>
        <w:spacing w:after="0" w:before="240"/>
        <w:jc w:val="center"/>
      </w:pPr>
      <w:r>
        <w:rPr>
          <w:rFonts w:ascii="Calibri" w:cs="Calibri" w:eastAsia="Calibri" w:hAnsi="Calibri"/>
          <w:b/>
          <w:bCs/>
          <w:color w:val="134744"/>
          <w:sz w:val="52"/>
          <w:szCs w:val="52"/>
        </w:rPr>
        <w:t xml:space="preserve">Application de Réservation</w:t>
      </w:r>
    </w:p>
    <w:p>
      <w:pPr>
        <w:spacing w:after="0" w:before="40"/>
        <w:jc w:val="center"/>
      </w:pPr>
      <w:r>
        <w:rPr>
          <w:rFonts w:ascii="Calibri" w:cs="Calibri" w:eastAsia="Calibri" w:hAnsi="Calibri"/>
          <w:b/>
          <w:bCs/>
          <w:color w:val="1F6F6B"/>
          <w:sz w:val="52"/>
          <w:szCs w:val="52"/>
        </w:rPr>
        <w:t xml:space="preserve">Spa &amp; Salon — MVP</w:t>
      </w:r>
    </w:p>
    <w:p>
      <w:pPr>
        <w:spacing w:after="0" w:before="260"/>
        <w:jc w:val="center"/>
      </w:pPr>
      <w:r>
        <w:rPr>
          <w:rFonts w:ascii="Calibri" w:cs="Calibri" w:eastAsia="Calibri" w:hAnsi="Calibri"/>
          <w:i/>
          <w:iCs/>
          <w:color w:val="44515E"/>
          <w:sz w:val="26"/>
          <w:szCs w:val="26"/>
        </w:rPr>
        <w:t xml:space="preserve">Planning · Roadmap d'implémentation · Infrastructure AWS</w:t>
      </w:r>
    </w:p>
    <w:p>
      <w:pPr>
        <w:spacing w:after="0" w:before="120"/>
        <w:jc w:val="center"/>
      </w:pPr>
      <w:r>
        <w:rPr>
          <w:rFonts w:ascii="Calibri" w:cs="Calibri" w:eastAsia="Calibri" w:hAnsi="Calibri"/>
          <w:color w:val="44515E"/>
          <w:sz w:val="20"/>
          <w:szCs w:val="20"/>
        </w:rPr>
        <w:t xml:space="preserve">Inspiré de la plateforme Booker.com</w:t>
      </w:r>
    </w:p>
    <w:p>
      <w:pPr>
        <w:pBdr>
          <w:bottom w:val="single" w:color="C9A24B" w:sz="12"/>
        </w:pBdr>
        <w:spacing w:after="400" w:before="500"/>
      </w:pPr>
      <w:r>
        <w:rPr>
          <w:rFonts w:ascii="Calibri" w:cs="Calibri" w:eastAsia="Calibri" w:hAnsi="Calibri"/>
          <w:b w:val="false"/>
          <w:bCs w:val="false"/>
          <w:i w:val="false"/>
          <w:iCs w:val="false"/>
          <w:color w:val="1B2733"/>
          <w:sz w:val="21"/>
          <w:szCs w:val="21"/>
        </w:rPr>
        <w:t xml:space="preserve"/>
      </w:r>
    </w:p>
    <w:tbl>
      <w:tblPr>
        <w:tblW w:type="dxa" w:w="9026"/>
        <w:jc w:val="center"/>
        <w:tblBorders>
          <w:top w:val="none"/>
          <w:left w:val="none"/>
          <w:bottom w:val="none"/>
          <w:right w:val="none"/>
          <w:insideH w:val="single" w:color="E1E9E8" w:sz="4"/>
          <w:insideV w:val="none"/>
        </w:tblBorders>
      </w:tblPr>
      <w:tblGrid>
        <w:gridCol w:w="2600"/>
        <w:gridCol w:w="6426"/>
      </w:tblGrid>
      <w:tr>
        <w:tc>
          <w:tcPr>
            <w:tcW w:type="dxa" w:w="2600"/>
            <w:shd w:fill="F5F9F8"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34744"/>
                <w:sz w:val="19"/>
                <w:szCs w:val="19"/>
              </w:rPr>
              <w:t xml:space="preserve">Version du document</w:t>
            </w:r>
          </w:p>
        </w:tc>
        <w:tc>
          <w:tcPr>
            <w:tcW w:type="dxa" w:w="6426"/>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1.2 — Français</w:t>
            </w:r>
          </w:p>
        </w:tc>
      </w:tr>
      <w:tr>
        <w:tc>
          <w:tcPr>
            <w:tcW w:type="dxa" w:w="2600"/>
            <w:shd w:fill="F5F9F8"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34744"/>
                <w:sz w:val="19"/>
                <w:szCs w:val="19"/>
              </w:rPr>
              <w:t xml:space="preserve">Date</w:t>
            </w:r>
          </w:p>
        </w:tc>
        <w:tc>
          <w:tcPr>
            <w:tcW w:type="dxa" w:w="6426"/>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19 août 2026</w:t>
            </w:r>
          </w:p>
        </w:tc>
      </w:tr>
      <w:tr>
        <w:tc>
          <w:tcPr>
            <w:tcW w:type="dxa" w:w="2600"/>
            <w:shd w:fill="F5F9F8"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34744"/>
                <w:sz w:val="19"/>
                <w:szCs w:val="19"/>
              </w:rPr>
              <w:t xml:space="preserve">Statut</w:t>
            </w:r>
          </w:p>
        </w:tc>
        <w:tc>
          <w:tcPr>
            <w:tcW w:type="dxa" w:w="6426"/>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Pour revue</w:t>
            </w:r>
          </w:p>
        </w:tc>
      </w:tr>
      <w:tr>
        <w:tc>
          <w:tcPr>
            <w:tcW w:type="dxa" w:w="2600"/>
            <w:shd w:fill="F5F9F8"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34744"/>
                <w:sz w:val="19"/>
                <w:szCs w:val="19"/>
              </w:rPr>
              <w:t xml:space="preserve">Type de projet</w:t>
            </w:r>
          </w:p>
        </w:tc>
        <w:tc>
          <w:tcPr>
            <w:tcW w:type="dxa" w:w="6426"/>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Développement d'un produit SaaS (MVP)</w:t>
            </w:r>
          </w:p>
        </w:tc>
      </w:tr>
      <w:tr>
        <w:tc>
          <w:tcPr>
            <w:tcW w:type="dxa" w:w="2600"/>
            <w:shd w:fill="F5F9F8"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34744"/>
                <w:sz w:val="19"/>
                <w:szCs w:val="19"/>
              </w:rPr>
              <w:t xml:space="preserve">Public visé</w:t>
            </w:r>
          </w:p>
        </w:tc>
        <w:tc>
          <w:tcPr>
            <w:tcW w:type="dxa" w:w="6426"/>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Direction produit, équipe technique, sponsors</w:t>
            </w:r>
          </w:p>
        </w:tc>
      </w:tr>
      <w:tr>
        <w:tc>
          <w:tcPr>
            <w:tcW w:type="dxa" w:w="2600"/>
            <w:shd w:fill="F5F9F8"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34744"/>
                <w:sz w:val="19"/>
                <w:szCs w:val="19"/>
              </w:rPr>
              <w:t xml:space="preserve">Durée cible</w:t>
            </w:r>
          </w:p>
        </w:tc>
        <w:tc>
          <w:tcPr>
            <w:tcW w:type="dxa" w:w="6426"/>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1 mois (4 semaines)</w:t>
            </w:r>
          </w:p>
        </w:tc>
      </w:tr>
    </w:tbl>
    <w:p>
      <w:r>
        <w:br w:type="page"/>
      </w:r>
    </w:p>
    <w:p>
      <w:pPr>
        <w:spacing w:after="120"/>
      </w:pPr>
      <w:r>
        <w:rPr>
          <w:rFonts w:ascii="Calibri" w:cs="Calibri" w:eastAsia="Calibri" w:hAnsi="Calibri"/>
          <w:b/>
          <w:bCs/>
          <w:color w:val="134744"/>
          <w:sz w:val="32"/>
          <w:szCs w:val="32"/>
        </w:rPr>
        <w:t xml:space="preserve">Sommaire</w:t>
      </w:r>
    </w:p>
    <w:p>
      <w:pPr>
        <w:pBdr>
          <w:bottom w:val="single" w:color="EAF2F1" w:sz="6"/>
        </w:pBdr>
        <w:spacing w:after="120"/>
      </w:pPr>
      <w:r>
        <w:rPr>
          <w:rFonts w:ascii="Calibri" w:cs="Calibri" w:eastAsia="Calibri" w:hAnsi="Calibri"/>
          <w:b w:val="false"/>
          <w:bCs w:val="false"/>
          <w:i w:val="false"/>
          <w:iCs w:val="false"/>
          <w:color w:val="1B2733"/>
          <w:sz w:val="21"/>
          <w:szCs w:val="21"/>
        </w:rPr>
        <w:t xml:space="preserve"/>
      </w:r>
    </w:p>
    <w:p>
      <w:pPr>
        <w:tabs>
          <w:tab w:val="right" w:pos="9026" w:leader="dot"/>
        </w:tabs>
        <w:spacing w:after="6" w:before="70" w:line="240"/>
        <w:ind w:left="0" w:right="120"/>
      </w:pPr>
      <w:r>
        <w:rPr>
          <w:rFonts w:ascii="Calibri" w:cs="Calibri" w:eastAsia="Calibri" w:hAnsi="Calibri"/>
          <w:b/>
          <w:bCs/>
          <w:color w:val="134744"/>
          <w:sz w:val="21"/>
          <w:szCs w:val="21"/>
        </w:rPr>
        <w:t xml:space="preserve">1. Introduction et contexte</w:t>
      </w:r>
      <w:r>
        <w:rPr>
          <w:rFonts w:ascii="Calibri" w:cs="Calibri" w:eastAsia="Calibri" w:hAnsi="Calibri"/>
          <w:b/>
          <w:bCs/>
          <w:color w:val="134744"/>
          <w:sz w:val="21"/>
          <w:szCs w:val="21"/>
        </w:rPr>
        <w:ptab w:alignment="right" w:relativeTo="margin" w:leader="dot"/>
        <w:t xml:space="preserve">3</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1.1 Objet du document</w:t>
      </w:r>
      <w:r>
        <w:rPr>
          <w:rFonts w:ascii="Calibri" w:cs="Calibri" w:eastAsia="Calibri" w:hAnsi="Calibri"/>
          <w:b w:val="false"/>
          <w:bCs w:val="false"/>
          <w:color w:val="44515E"/>
          <w:sz w:val="19"/>
          <w:szCs w:val="19"/>
        </w:rPr>
        <w:ptab w:alignment="right" w:relativeTo="margin" w:leader="dot"/>
        <w:t xml:space="preserve">3</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1.2 Vision produit</w:t>
      </w:r>
      <w:r>
        <w:rPr>
          <w:rFonts w:ascii="Calibri" w:cs="Calibri" w:eastAsia="Calibri" w:hAnsi="Calibri"/>
          <w:b w:val="false"/>
          <w:bCs w:val="false"/>
          <w:color w:val="44515E"/>
          <w:sz w:val="19"/>
          <w:szCs w:val="19"/>
        </w:rPr>
        <w:ptab w:alignment="right" w:relativeTo="margin" w:leader="dot"/>
        <w:t xml:space="preserve">3</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1.3 Enseignements tirés de l'analyse de Booker</w:t>
      </w:r>
      <w:r>
        <w:rPr>
          <w:rFonts w:ascii="Calibri" w:cs="Calibri" w:eastAsia="Calibri" w:hAnsi="Calibri"/>
          <w:b w:val="false"/>
          <w:bCs w:val="false"/>
          <w:color w:val="44515E"/>
          <w:sz w:val="19"/>
          <w:szCs w:val="19"/>
        </w:rPr>
        <w:ptab w:alignment="right" w:relativeTo="margin" w:leader="dot"/>
        <w:t xml:space="preserve">3</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1.4 Rappel du périmètre MVP</w:t>
      </w:r>
      <w:r>
        <w:rPr>
          <w:rFonts w:ascii="Calibri" w:cs="Calibri" w:eastAsia="Calibri" w:hAnsi="Calibri"/>
          <w:b w:val="false"/>
          <w:bCs w:val="false"/>
          <w:color w:val="44515E"/>
          <w:sz w:val="19"/>
          <w:szCs w:val="19"/>
        </w:rPr>
        <w:ptab w:alignment="right" w:relativeTo="margin" w:leader="dot"/>
        <w:t xml:space="preserve">4</w:t>
      </w:r>
    </w:p>
    <w:p>
      <w:pPr>
        <w:tabs>
          <w:tab w:val="right" w:pos="9026" w:leader="dot"/>
        </w:tabs>
        <w:spacing w:after="6" w:before="70" w:line="240"/>
        <w:ind w:left="0" w:right="120"/>
      </w:pPr>
      <w:r>
        <w:rPr>
          <w:rFonts w:ascii="Calibri" w:cs="Calibri" w:eastAsia="Calibri" w:hAnsi="Calibri"/>
          <w:b/>
          <w:bCs/>
          <w:color w:val="134744"/>
          <w:sz w:val="21"/>
          <w:szCs w:val="21"/>
        </w:rPr>
        <w:t xml:space="preserve">2. Architecture technique cible</w:t>
      </w:r>
      <w:r>
        <w:rPr>
          <w:rFonts w:ascii="Calibri" w:cs="Calibri" w:eastAsia="Calibri" w:hAnsi="Calibri"/>
          <w:b/>
          <w:bCs/>
          <w:color w:val="134744"/>
          <w:sz w:val="21"/>
          <w:szCs w:val="21"/>
        </w:rPr>
        <w:ptab w:alignment="right" w:relativeTo="margin" w:leader="dot"/>
        <w:t xml:space="preserve">5</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2.1 Principes d'architecture</w:t>
      </w:r>
      <w:r>
        <w:rPr>
          <w:rFonts w:ascii="Calibri" w:cs="Calibri" w:eastAsia="Calibri" w:hAnsi="Calibri"/>
          <w:b w:val="false"/>
          <w:bCs w:val="false"/>
          <w:color w:val="44515E"/>
          <w:sz w:val="19"/>
          <w:szCs w:val="19"/>
        </w:rPr>
        <w:ptab w:alignment="right" w:relativeTo="margin" w:leader="dot"/>
        <w:t xml:space="preserve">5</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2.2 Stack technologique proposée</w:t>
      </w:r>
      <w:r>
        <w:rPr>
          <w:rFonts w:ascii="Calibri" w:cs="Calibri" w:eastAsia="Calibri" w:hAnsi="Calibri"/>
          <w:b w:val="false"/>
          <w:bCs w:val="false"/>
          <w:color w:val="44515E"/>
          <w:sz w:val="19"/>
          <w:szCs w:val="19"/>
        </w:rPr>
        <w:ptab w:alignment="right" w:relativeTo="margin" w:leader="dot"/>
        <w:t xml:space="preserve">5</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2.3 Composants applicatifs (modules métier)</w:t>
      </w:r>
      <w:r>
        <w:rPr>
          <w:rFonts w:ascii="Calibri" w:cs="Calibri" w:eastAsia="Calibri" w:hAnsi="Calibri"/>
          <w:b w:val="false"/>
          <w:bCs w:val="false"/>
          <w:color w:val="44515E"/>
          <w:sz w:val="19"/>
          <w:szCs w:val="19"/>
        </w:rPr>
        <w:ptab w:alignment="right" w:relativeTo="margin" w:leader="dot"/>
        <w:t xml:space="preserve">6</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2.4 Modèle de données — entités principales</w:t>
      </w:r>
      <w:r>
        <w:rPr>
          <w:rFonts w:ascii="Calibri" w:cs="Calibri" w:eastAsia="Calibri" w:hAnsi="Calibri"/>
          <w:b w:val="false"/>
          <w:bCs w:val="false"/>
          <w:color w:val="44515E"/>
          <w:sz w:val="19"/>
          <w:szCs w:val="19"/>
        </w:rPr>
        <w:ptab w:alignment="right" w:relativeTo="margin" w:leader="dot"/>
        <w:t xml:space="preserve">6</w:t>
      </w:r>
    </w:p>
    <w:p>
      <w:pPr>
        <w:tabs>
          <w:tab w:val="right" w:pos="9026" w:leader="dot"/>
        </w:tabs>
        <w:spacing w:after="6" w:before="70" w:line="240"/>
        <w:ind w:left="0" w:right="120"/>
      </w:pPr>
      <w:r>
        <w:rPr>
          <w:rFonts w:ascii="Calibri" w:cs="Calibri" w:eastAsia="Calibri" w:hAnsi="Calibri"/>
          <w:b/>
          <w:bCs/>
          <w:color w:val="134744"/>
          <w:sz w:val="21"/>
          <w:szCs w:val="21"/>
        </w:rPr>
        <w:t xml:space="preserve">3. Roadmap et planning d'implémentation</w:t>
      </w:r>
      <w:r>
        <w:rPr>
          <w:rFonts w:ascii="Calibri" w:cs="Calibri" w:eastAsia="Calibri" w:hAnsi="Calibri"/>
          <w:b/>
          <w:bCs/>
          <w:color w:val="134744"/>
          <w:sz w:val="21"/>
          <w:szCs w:val="21"/>
        </w:rPr>
        <w:ptab w:alignment="right" w:relativeTo="margin" w:leader="dot"/>
        <w:t xml:space="preserve">7</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3.1 Méthodologie</w:t>
      </w:r>
      <w:r>
        <w:rPr>
          <w:rFonts w:ascii="Calibri" w:cs="Calibri" w:eastAsia="Calibri" w:hAnsi="Calibri"/>
          <w:b w:val="false"/>
          <w:bCs w:val="false"/>
          <w:color w:val="44515E"/>
          <w:sz w:val="19"/>
          <w:szCs w:val="19"/>
        </w:rPr>
        <w:ptab w:alignment="right" w:relativeTo="margin" w:leader="dot"/>
        <w:t xml:space="preserve">7</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3.2 Découpage hebdomadaire (workstreams en parallèle)</w:t>
      </w:r>
      <w:r>
        <w:rPr>
          <w:rFonts w:ascii="Calibri" w:cs="Calibri" w:eastAsia="Calibri" w:hAnsi="Calibri"/>
          <w:b w:val="false"/>
          <w:bCs w:val="false"/>
          <w:color w:val="44515E"/>
          <w:sz w:val="19"/>
          <w:szCs w:val="19"/>
        </w:rPr>
        <w:ptab w:alignment="right" w:relativeTo="margin" w:leader="dot"/>
        <w:t xml:space="preserve">7</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3.3 Détail des sprints</w:t>
      </w:r>
      <w:r>
        <w:rPr>
          <w:rFonts w:ascii="Calibri" w:cs="Calibri" w:eastAsia="Calibri" w:hAnsi="Calibri"/>
          <w:b w:val="false"/>
          <w:bCs w:val="false"/>
          <w:color w:val="44515E"/>
          <w:sz w:val="19"/>
          <w:szCs w:val="19"/>
        </w:rPr>
        <w:ptab w:alignment="right" w:relativeTo="margin" w:leader="dot"/>
        <w:t xml:space="preserve">7</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3.4 Jalons clés</w:t>
      </w:r>
      <w:r>
        <w:rPr>
          <w:rFonts w:ascii="Calibri" w:cs="Calibri" w:eastAsia="Calibri" w:hAnsi="Calibri"/>
          <w:b w:val="false"/>
          <w:bCs w:val="false"/>
          <w:color w:val="44515E"/>
          <w:sz w:val="19"/>
          <w:szCs w:val="19"/>
        </w:rPr>
        <w:ptab w:alignment="right" w:relativeTo="margin" w:leader="dot"/>
        <w:t xml:space="preserve">8</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3.5 Estimation d'effort (indicative)</w:t>
      </w:r>
      <w:r>
        <w:rPr>
          <w:rFonts w:ascii="Calibri" w:cs="Calibri" w:eastAsia="Calibri" w:hAnsi="Calibri"/>
          <w:b w:val="false"/>
          <w:bCs w:val="false"/>
          <w:color w:val="44515E"/>
          <w:sz w:val="19"/>
          <w:szCs w:val="19"/>
        </w:rPr>
        <w:ptab w:alignment="right" w:relativeTo="margin" w:leader="dot"/>
        <w:t xml:space="preserve">8</w:t>
      </w:r>
    </w:p>
    <w:p>
      <w:pPr>
        <w:tabs>
          <w:tab w:val="right" w:pos="9026" w:leader="dot"/>
        </w:tabs>
        <w:spacing w:after="6" w:before="70" w:line="240"/>
        <w:ind w:left="0" w:right="120"/>
      </w:pPr>
      <w:r>
        <w:rPr>
          <w:rFonts w:ascii="Calibri" w:cs="Calibri" w:eastAsia="Calibri" w:hAnsi="Calibri"/>
          <w:b/>
          <w:bCs/>
          <w:color w:val="134744"/>
          <w:sz w:val="21"/>
          <w:szCs w:val="21"/>
        </w:rPr>
        <w:t xml:space="preserve">4. Requirements d'infrastructure AWS</w:t>
      </w:r>
      <w:r>
        <w:rPr>
          <w:rFonts w:ascii="Calibri" w:cs="Calibri" w:eastAsia="Calibri" w:hAnsi="Calibri"/>
          <w:b/>
          <w:bCs/>
          <w:color w:val="134744"/>
          <w:sz w:val="21"/>
          <w:szCs w:val="21"/>
        </w:rPr>
        <w:ptab w:alignment="right" w:relativeTo="margin" w:leader="dot"/>
        <w:t xml:space="preserve">10</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4.1 Principes directeurs de l'infrastructure</w:t>
      </w:r>
      <w:r>
        <w:rPr>
          <w:rFonts w:ascii="Calibri" w:cs="Calibri" w:eastAsia="Calibri" w:hAnsi="Calibri"/>
          <w:b w:val="false"/>
          <w:bCs w:val="false"/>
          <w:color w:val="44515E"/>
          <w:sz w:val="19"/>
          <w:szCs w:val="19"/>
        </w:rPr>
        <w:ptab w:alignment="right" w:relativeTo="margin" w:leader="dot"/>
        <w:t xml:space="preserve">10</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4.2 Vue d'ensemble de l'architecture cible</w:t>
      </w:r>
      <w:r>
        <w:rPr>
          <w:rFonts w:ascii="Calibri" w:cs="Calibri" w:eastAsia="Calibri" w:hAnsi="Calibri"/>
          <w:b w:val="false"/>
          <w:bCs w:val="false"/>
          <w:color w:val="44515E"/>
          <w:sz w:val="19"/>
          <w:szCs w:val="19"/>
        </w:rPr>
        <w:ptab w:alignment="right" w:relativeTo="margin" w:leader="dot"/>
        <w:t xml:space="preserve">10</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4.3 Réseau — Amazon VPC</w:t>
      </w:r>
      <w:r>
        <w:rPr>
          <w:rFonts w:ascii="Calibri" w:cs="Calibri" w:eastAsia="Calibri" w:hAnsi="Calibri"/>
          <w:b w:val="false"/>
          <w:bCs w:val="false"/>
          <w:color w:val="44515E"/>
          <w:sz w:val="19"/>
          <w:szCs w:val="19"/>
        </w:rPr>
        <w:ptab w:alignment="right" w:relativeTo="margin" w:leader="dot"/>
        <w:t xml:space="preserve">10</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4.4 Compute — conteneurs applicatifs</w:t>
      </w:r>
      <w:r>
        <w:rPr>
          <w:rFonts w:ascii="Calibri" w:cs="Calibri" w:eastAsia="Calibri" w:hAnsi="Calibri"/>
          <w:b w:val="false"/>
          <w:bCs w:val="false"/>
          <w:color w:val="44515E"/>
          <w:sz w:val="19"/>
          <w:szCs w:val="19"/>
        </w:rPr>
        <w:ptab w:alignment="right" w:relativeTo="margin" w:leader="dot"/>
        <w:t xml:space="preserve">11</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4.5 Bases de données et cache</w:t>
      </w:r>
      <w:r>
        <w:rPr>
          <w:rFonts w:ascii="Calibri" w:cs="Calibri" w:eastAsia="Calibri" w:hAnsi="Calibri"/>
          <w:b w:val="false"/>
          <w:bCs w:val="false"/>
          <w:color w:val="44515E"/>
          <w:sz w:val="19"/>
          <w:szCs w:val="19"/>
        </w:rPr>
        <w:ptab w:alignment="right" w:relativeTo="margin" w:leader="dot"/>
        <w:t xml:space="preserve">11</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4.6 Stockage objet et diffusion de contenu</w:t>
      </w:r>
      <w:r>
        <w:rPr>
          <w:rFonts w:ascii="Calibri" w:cs="Calibri" w:eastAsia="Calibri" w:hAnsi="Calibri"/>
          <w:b w:val="false"/>
          <w:bCs w:val="false"/>
          <w:color w:val="44515E"/>
          <w:sz w:val="19"/>
          <w:szCs w:val="19"/>
        </w:rPr>
        <w:ptab w:alignment="right" w:relativeTo="margin" w:leader="dot"/>
        <w:t xml:space="preserve">11</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4.7 Authentification et identités</w:t>
      </w:r>
      <w:r>
        <w:rPr>
          <w:rFonts w:ascii="Calibri" w:cs="Calibri" w:eastAsia="Calibri" w:hAnsi="Calibri"/>
          <w:b w:val="false"/>
          <w:bCs w:val="false"/>
          <w:color w:val="44515E"/>
          <w:sz w:val="19"/>
          <w:szCs w:val="19"/>
        </w:rPr>
        <w:ptab w:alignment="right" w:relativeTo="margin" w:leader="dot"/>
        <w:t xml:space="preserve">12</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4.8 Notifications et tâches planifiées</w:t>
      </w:r>
      <w:r>
        <w:rPr>
          <w:rFonts w:ascii="Calibri" w:cs="Calibri" w:eastAsia="Calibri" w:hAnsi="Calibri"/>
          <w:b w:val="false"/>
          <w:bCs w:val="false"/>
          <w:color w:val="44515E"/>
          <w:sz w:val="19"/>
          <w:szCs w:val="19"/>
        </w:rPr>
        <w:ptab w:alignment="right" w:relativeTo="margin" w:leader="dot"/>
        <w:t xml:space="preserve">12</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4.9 Paiements et conformité PCI-DSS</w:t>
      </w:r>
      <w:r>
        <w:rPr>
          <w:rFonts w:ascii="Calibri" w:cs="Calibri" w:eastAsia="Calibri" w:hAnsi="Calibri"/>
          <w:b w:val="false"/>
          <w:bCs w:val="false"/>
          <w:color w:val="44515E"/>
          <w:sz w:val="19"/>
          <w:szCs w:val="19"/>
        </w:rPr>
        <w:ptab w:alignment="right" w:relativeTo="margin" w:leader="dot"/>
        <w:t xml:space="preserve">12</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4.10 Sécurité de l'infrastructure</w:t>
      </w:r>
      <w:r>
        <w:rPr>
          <w:rFonts w:ascii="Calibri" w:cs="Calibri" w:eastAsia="Calibri" w:hAnsi="Calibri"/>
          <w:b w:val="false"/>
          <w:bCs w:val="false"/>
          <w:color w:val="44515E"/>
          <w:sz w:val="19"/>
          <w:szCs w:val="19"/>
        </w:rPr>
        <w:ptab w:alignment="right" w:relativeTo="margin" w:leader="dot"/>
        <w:t xml:space="preserve">13</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4.11 Observabilité et supervision</w:t>
      </w:r>
      <w:r>
        <w:rPr>
          <w:rFonts w:ascii="Calibri" w:cs="Calibri" w:eastAsia="Calibri" w:hAnsi="Calibri"/>
          <w:b w:val="false"/>
          <w:bCs w:val="false"/>
          <w:color w:val="44515E"/>
          <w:sz w:val="19"/>
          <w:szCs w:val="19"/>
        </w:rPr>
        <w:ptab w:alignment="right" w:relativeTo="margin" w:leader="dot"/>
        <w:t xml:space="preserve">13</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4.12 CI/CD et Infrastructure-as-Code</w:t>
      </w:r>
      <w:r>
        <w:rPr>
          <w:rFonts w:ascii="Calibri" w:cs="Calibri" w:eastAsia="Calibri" w:hAnsi="Calibri"/>
          <w:b w:val="false"/>
          <w:bCs w:val="false"/>
          <w:color w:val="44515E"/>
          <w:sz w:val="19"/>
          <w:szCs w:val="19"/>
        </w:rPr>
        <w:ptab w:alignment="right" w:relativeTo="margin" w:leader="dot"/>
        <w:t xml:space="preserve">13</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4.13 Environnements</w:t>
      </w:r>
      <w:r>
        <w:rPr>
          <w:rFonts w:ascii="Calibri" w:cs="Calibri" w:eastAsia="Calibri" w:hAnsi="Calibri"/>
          <w:b w:val="false"/>
          <w:bCs w:val="false"/>
          <w:color w:val="44515E"/>
          <w:sz w:val="19"/>
          <w:szCs w:val="19"/>
        </w:rPr>
        <w:ptab w:alignment="right" w:relativeTo="margin" w:leader="dot"/>
        <w:t xml:space="preserve">13</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4.14 Sauvegarde et reprise d'activité (PRA/DR)</w:t>
      </w:r>
      <w:r>
        <w:rPr>
          <w:rFonts w:ascii="Calibri" w:cs="Calibri" w:eastAsia="Calibri" w:hAnsi="Calibri"/>
          <w:b w:val="false"/>
          <w:bCs w:val="false"/>
          <w:color w:val="44515E"/>
          <w:sz w:val="19"/>
          <w:szCs w:val="19"/>
        </w:rPr>
        <w:ptab w:alignment="right" w:relativeTo="margin" w:leader="dot"/>
        <w:t xml:space="preserve">14</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4.15 Dimensionnement initial (production)</w:t>
      </w:r>
      <w:r>
        <w:rPr>
          <w:rFonts w:ascii="Calibri" w:cs="Calibri" w:eastAsia="Calibri" w:hAnsi="Calibri"/>
          <w:b w:val="false"/>
          <w:bCs w:val="false"/>
          <w:color w:val="44515E"/>
          <w:sz w:val="19"/>
          <w:szCs w:val="19"/>
        </w:rPr>
        <w:ptab w:alignment="right" w:relativeTo="margin" w:leader="dot"/>
        <w:t xml:space="preserve">14</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4.16 Estimation budgétaire mensuelle (indicative)</w:t>
      </w:r>
      <w:r>
        <w:rPr>
          <w:rFonts w:ascii="Calibri" w:cs="Calibri" w:eastAsia="Calibri" w:hAnsi="Calibri"/>
          <w:b w:val="false"/>
          <w:bCs w:val="false"/>
          <w:color w:val="44515E"/>
          <w:sz w:val="19"/>
          <w:szCs w:val="19"/>
        </w:rPr>
        <w:ptab w:alignment="right" w:relativeTo="margin" w:leader="dot"/>
        <w:t xml:space="preserve">14</w:t>
      </w:r>
    </w:p>
    <w:p>
      <w:pPr>
        <w:tabs>
          <w:tab w:val="right" w:pos="9026" w:leader="dot"/>
        </w:tabs>
        <w:spacing w:after="6" w:before="70" w:line="240"/>
        <w:ind w:left="0" w:right="120"/>
      </w:pPr>
      <w:r>
        <w:rPr>
          <w:rFonts w:ascii="Calibri" w:cs="Calibri" w:eastAsia="Calibri" w:hAnsi="Calibri"/>
          <w:b/>
          <w:bCs/>
          <w:color w:val="134744"/>
          <w:sz w:val="21"/>
          <w:szCs w:val="21"/>
        </w:rPr>
        <w:t xml:space="preserve">5. Sécurité, conformité et protection des données</w:t>
      </w:r>
      <w:r>
        <w:rPr>
          <w:rFonts w:ascii="Calibri" w:cs="Calibri" w:eastAsia="Calibri" w:hAnsi="Calibri"/>
          <w:b/>
          <w:bCs/>
          <w:color w:val="134744"/>
          <w:sz w:val="21"/>
          <w:szCs w:val="21"/>
        </w:rPr>
        <w:ptab w:alignment="right" w:relativeTo="margin" w:leader="dot"/>
        <w:t xml:space="preserve">16</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5.1 Principes de protection des données</w:t>
      </w:r>
      <w:r>
        <w:rPr>
          <w:rFonts w:ascii="Calibri" w:cs="Calibri" w:eastAsia="Calibri" w:hAnsi="Calibri"/>
          <w:b w:val="false"/>
          <w:bCs w:val="false"/>
          <w:color w:val="44515E"/>
          <w:sz w:val="19"/>
          <w:szCs w:val="19"/>
        </w:rPr>
        <w:ptab w:alignment="right" w:relativeTo="margin" w:leader="dot"/>
        <w:t xml:space="preserve">16</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5.2 Conformité des paiements</w:t>
      </w:r>
      <w:r>
        <w:rPr>
          <w:rFonts w:ascii="Calibri" w:cs="Calibri" w:eastAsia="Calibri" w:hAnsi="Calibri"/>
          <w:b w:val="false"/>
          <w:bCs w:val="false"/>
          <w:color w:val="44515E"/>
          <w:sz w:val="19"/>
          <w:szCs w:val="19"/>
        </w:rPr>
        <w:ptab w:alignment="right" w:relativeTo="margin" w:leader="dot"/>
        <w:t xml:space="preserve">16</w:t>
      </w:r>
    </w:p>
    <w:p>
      <w:pPr>
        <w:tabs>
          <w:tab w:val="right" w:pos="9026" w:leader="dot"/>
        </w:tabs>
        <w:spacing w:after="6" w:before="70" w:line="240"/>
        <w:ind w:left="0" w:right="120"/>
      </w:pPr>
      <w:r>
        <w:rPr>
          <w:rFonts w:ascii="Calibri" w:cs="Calibri" w:eastAsia="Calibri" w:hAnsi="Calibri"/>
          <w:b/>
          <w:bCs/>
          <w:color w:val="134744"/>
          <w:sz w:val="21"/>
          <w:szCs w:val="21"/>
        </w:rPr>
        <w:t xml:space="preserve">6. Risques et mesures d'atténuation</w:t>
      </w:r>
      <w:r>
        <w:rPr>
          <w:rFonts w:ascii="Calibri" w:cs="Calibri" w:eastAsia="Calibri" w:hAnsi="Calibri"/>
          <w:b/>
          <w:bCs/>
          <w:color w:val="134744"/>
          <w:sz w:val="21"/>
          <w:szCs w:val="21"/>
        </w:rPr>
        <w:ptab w:alignment="right" w:relativeTo="margin" w:leader="dot"/>
        <w:t xml:space="preserve">17</w:t>
      </w:r>
    </w:p>
    <w:p>
      <w:pPr>
        <w:tabs>
          <w:tab w:val="right" w:pos="9026" w:leader="dot"/>
        </w:tabs>
        <w:spacing w:after="6" w:before="70" w:line="240"/>
        <w:ind w:left="0" w:right="120"/>
      </w:pPr>
      <w:r>
        <w:rPr>
          <w:rFonts w:ascii="Calibri" w:cs="Calibri" w:eastAsia="Calibri" w:hAnsi="Calibri"/>
          <w:b/>
          <w:bCs/>
          <w:color w:val="134744"/>
          <w:sz w:val="21"/>
          <w:szCs w:val="21"/>
        </w:rPr>
        <w:t xml:space="preserve">7. Facteurs clés de succès et prochaines étapes</w:t>
      </w:r>
      <w:r>
        <w:rPr>
          <w:rFonts w:ascii="Calibri" w:cs="Calibri" w:eastAsia="Calibri" w:hAnsi="Calibri"/>
          <w:b/>
          <w:bCs/>
          <w:color w:val="134744"/>
          <w:sz w:val="21"/>
          <w:szCs w:val="21"/>
        </w:rPr>
        <w:ptab w:alignment="right" w:relativeTo="margin" w:leader="dot"/>
        <w:t xml:space="preserve">18</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7.1 Facteurs clés de succès</w:t>
      </w:r>
      <w:r>
        <w:rPr>
          <w:rFonts w:ascii="Calibri" w:cs="Calibri" w:eastAsia="Calibri" w:hAnsi="Calibri"/>
          <w:b w:val="false"/>
          <w:bCs w:val="false"/>
          <w:color w:val="44515E"/>
          <w:sz w:val="19"/>
          <w:szCs w:val="19"/>
        </w:rPr>
        <w:ptab w:alignment="right" w:relativeTo="margin" w:leader="dot"/>
        <w:t xml:space="preserve">18</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7.2 Prochaines étapes immédiates</w:t>
      </w:r>
      <w:r>
        <w:rPr>
          <w:rFonts w:ascii="Calibri" w:cs="Calibri" w:eastAsia="Calibri" w:hAnsi="Calibri"/>
          <w:b w:val="false"/>
          <w:bCs w:val="false"/>
          <w:color w:val="44515E"/>
          <w:sz w:val="19"/>
          <w:szCs w:val="19"/>
        </w:rPr>
        <w:ptab w:alignment="right" w:relativeTo="margin" w:leader="dot"/>
        <w:t xml:space="preserve">18</w:t>
      </w:r>
    </w:p>
    <w:p>
      <w:pPr>
        <w:tabs>
          <w:tab w:val="right" w:pos="9026" w:leader="dot"/>
        </w:tabs>
        <w:spacing w:after="6" w:before="6" w:line="240"/>
        <w:ind w:left="300" w:right="120"/>
      </w:pPr>
      <w:r>
        <w:rPr>
          <w:rFonts w:ascii="Calibri" w:cs="Calibri" w:eastAsia="Calibri" w:hAnsi="Calibri"/>
          <w:b w:val="false"/>
          <w:bCs w:val="false"/>
          <w:color w:val="44515E"/>
          <w:sz w:val="19"/>
          <w:szCs w:val="19"/>
        </w:rPr>
        <w:t xml:space="preserve">7.3 Trajectoire post-MVP (aperçu)</w:t>
      </w:r>
      <w:r>
        <w:rPr>
          <w:rFonts w:ascii="Calibri" w:cs="Calibri" w:eastAsia="Calibri" w:hAnsi="Calibri"/>
          <w:b w:val="false"/>
          <w:bCs w:val="false"/>
          <w:color w:val="44515E"/>
          <w:sz w:val="19"/>
          <w:szCs w:val="19"/>
        </w:rPr>
        <w:ptab w:alignment="right" w:relativeTo="margin" w:leader="dot"/>
        <w:t xml:space="preserve">18</w:t>
      </w:r>
    </w:p>
    <w:p>
      <w:r>
        <w:br w:type="page"/>
      </w:r>
    </w:p>
    <w:p>
      <w:pPr>
        <w:pStyle w:val="Heading1"/>
        <w:spacing w:after="140" w:before="320"/>
      </w:pPr>
      <w:r>
        <w:rPr>
          <w:rFonts w:ascii="Calibri" w:cs="Calibri" w:eastAsia="Calibri" w:hAnsi="Calibri"/>
          <w:b/>
          <w:bCs/>
          <w:color w:val="134744"/>
          <w:sz w:val="30"/>
          <w:szCs w:val="30"/>
        </w:rPr>
        <w:t xml:space="preserve">1. Introduction et contexte</w:t>
      </w:r>
    </w:p>
    <w:p>
      <w:pPr>
        <w:pStyle w:val="Heading2"/>
        <w:spacing w:after="100" w:before="240"/>
      </w:pPr>
      <w:r>
        <w:rPr>
          <w:rFonts w:ascii="Calibri" w:cs="Calibri" w:eastAsia="Calibri" w:hAnsi="Calibri"/>
          <w:b/>
          <w:bCs/>
          <w:color w:val="1F6F6B"/>
          <w:sz w:val="25"/>
          <w:szCs w:val="25"/>
        </w:rPr>
        <w:t xml:space="preserve">1.1 Objet du document</w:t>
      </w:r>
    </w:p>
    <w:p>
      <w:pPr>
        <w:spacing w:after="120" w:before="0" w:line="276"/>
      </w:pPr>
      <w:r>
        <w:rPr>
          <w:rFonts w:ascii="Calibri" w:cs="Calibri" w:eastAsia="Calibri" w:hAnsi="Calibri"/>
          <w:b w:val="false"/>
          <w:bCs w:val="false"/>
          <w:i w:val="false"/>
          <w:iCs w:val="false"/>
          <w:color w:val="1B2733"/>
          <w:sz w:val="21"/>
          <w:szCs w:val="21"/>
        </w:rPr>
        <w:t xml:space="preserve">Ce document constitue le dossier de cadrage pour la conception et la mise en œuvre d'une application de réservation destinée aux spas et salons de beauté, dont le périmètre fonctionnel MVP (Minimum Viable Product) a été défini dans le document « Spa &amp; Salon Booking App — MVP Feature Scope ». Il poursuit trois objectifs :</w:t>
      </w:r>
    </w:p>
    <w:p>
      <w:pPr>
        <w:pStyle w:val="ListParagraph"/>
        <w:numPr>
          <w:ilvl w:val="0"/>
          <w:numId w:val="2"/>
        </w:numPr>
        <w:spacing w:after="60" w:line="264"/>
      </w:pPr>
      <w:r>
        <w:rPr>
          <w:rFonts w:ascii="Calibri" w:cs="Calibri" w:eastAsia="Calibri" w:hAnsi="Calibri"/>
          <w:b w:val="false"/>
          <w:bCs w:val="false"/>
          <w:i w:val="false"/>
          <w:iCs w:val="false"/>
          <w:color w:val="1B2733"/>
          <w:sz w:val="21"/>
          <w:szCs w:val="21"/>
        </w:rPr>
        <w:t xml:space="preserve">Traduire le périmètre fonctionnel MVP en un plan d'implémentation concret, séquencé et estimé (roadmap, phases, sprints, jalons) ;</w:t>
      </w:r>
    </w:p>
    <w:p>
      <w:pPr>
        <w:pStyle w:val="ListParagraph"/>
        <w:numPr>
          <w:ilvl w:val="0"/>
          <w:numId w:val="2"/>
        </w:numPr>
        <w:spacing w:after="60" w:line="264"/>
      </w:pPr>
      <w:r>
        <w:rPr>
          <w:rFonts w:ascii="Calibri" w:cs="Calibri" w:eastAsia="Calibri" w:hAnsi="Calibri"/>
          <w:b w:val="false"/>
          <w:bCs w:val="false"/>
          <w:i w:val="false"/>
          <w:iCs w:val="false"/>
          <w:color w:val="1B2733"/>
          <w:sz w:val="21"/>
          <w:szCs w:val="21"/>
        </w:rPr>
        <w:t xml:space="preserve">Définir l'architecture technique cible et la stack technologique retenue ;</w:t>
      </w:r>
    </w:p>
    <w:p>
      <w:pPr>
        <w:pStyle w:val="ListParagraph"/>
        <w:numPr>
          <w:ilvl w:val="0"/>
          <w:numId w:val="2"/>
        </w:numPr>
        <w:spacing w:after="60" w:line="264"/>
      </w:pPr>
      <w:r>
        <w:rPr>
          <w:rFonts w:ascii="Calibri" w:cs="Calibri" w:eastAsia="Calibri" w:hAnsi="Calibri"/>
          <w:b w:val="false"/>
          <w:bCs w:val="false"/>
          <w:i w:val="false"/>
          <w:iCs w:val="false"/>
          <w:color w:val="1B2733"/>
          <w:sz w:val="21"/>
          <w:szCs w:val="21"/>
        </w:rPr>
        <w:t xml:space="preserve">Spécifier de manière détaillée les besoins d'infrastructure sur Amazon Web Services (AWS), incluant les services, le dimensionnement, la sécurité, la conformité et une estimation budgétaire.</w:t>
      </w:r>
    </w:p>
    <w:p>
      <w:pPr>
        <w:spacing w:after="120" w:before="0" w:line="276"/>
      </w:pPr>
      <w:r>
        <w:rPr>
          <w:rFonts w:ascii="Calibri" w:cs="Calibri" w:eastAsia="Calibri" w:hAnsi="Calibri"/>
          <w:b w:val="false"/>
          <w:bCs w:val="false"/>
          <w:i/>
          <w:iCs/>
          <w:color w:val="44515E"/>
          <w:sz w:val="21"/>
          <w:szCs w:val="21"/>
        </w:rPr>
        <w:t xml:space="preserve">Il sert de référence commune entre la direction produit, l'équipe de développement, l'équipe infrastructure/DevOps et les sponsors du projet.</w:t>
      </w:r>
    </w:p>
    <w:p>
      <w:pPr>
        <w:pStyle w:val="Heading2"/>
        <w:spacing w:after="100" w:before="240"/>
      </w:pPr>
      <w:r>
        <w:rPr>
          <w:rFonts w:ascii="Calibri" w:cs="Calibri" w:eastAsia="Calibri" w:hAnsi="Calibri"/>
          <w:b/>
          <w:bCs/>
          <w:color w:val="1F6F6B"/>
          <w:sz w:val="25"/>
          <w:szCs w:val="25"/>
        </w:rPr>
        <w:t xml:space="preserve">1.2 Vision produit</w:t>
      </w:r>
    </w:p>
    <w:p>
      <w:pPr>
        <w:spacing w:after="120" w:before="0" w:line="276"/>
      </w:pPr>
      <w:r>
        <w:rPr>
          <w:rFonts w:ascii="Calibri" w:cs="Calibri" w:eastAsia="Calibri" w:hAnsi="Calibri"/>
          <w:b w:val="false"/>
          <w:bCs w:val="false"/>
          <w:i w:val="false"/>
          <w:iCs w:val="false"/>
          <w:color w:val="1B2733"/>
          <w:sz w:val="21"/>
          <w:szCs w:val="21"/>
        </w:rPr>
        <w:t xml:space="preserve">L'application vise à offrir aux instituts de beauté, spas, salons de coiffure, barbershops et studios de massage une plateforme de gestion tout-en-un : prise de rendez-vous en ligne pour les clients, tableau de bord d'administration pour le back-office, gestion des équipes et de leurs disponibilités, encaissement au comptoir, notifications automatisées et reporting d'activité. La plateforme de référence, Booker (groupe Mindbody), illustre le standard du marché.</w:t>
      </w:r>
    </w:p>
    <w:p>
      <w:pPr>
        <w:pStyle w:val="Heading2"/>
        <w:spacing w:after="100" w:before="240"/>
      </w:pPr>
      <w:r>
        <w:rPr>
          <w:rFonts w:ascii="Calibri" w:cs="Calibri" w:eastAsia="Calibri" w:hAnsi="Calibri"/>
          <w:b/>
          <w:bCs/>
          <w:color w:val="1F6F6B"/>
          <w:sz w:val="25"/>
          <w:szCs w:val="25"/>
        </w:rPr>
        <w:t xml:space="preserve">1.3 Enseignements tirés de l'analyse de Booker</w:t>
      </w:r>
    </w:p>
    <w:p>
      <w:pPr>
        <w:spacing w:after="120" w:before="0" w:line="276"/>
      </w:pPr>
      <w:r>
        <w:rPr>
          <w:rFonts w:ascii="Calibri" w:cs="Calibri" w:eastAsia="Calibri" w:hAnsi="Calibri"/>
          <w:b w:val="false"/>
          <w:bCs w:val="false"/>
          <w:i w:val="false"/>
          <w:iCs w:val="false"/>
          <w:color w:val="1B2733"/>
          <w:sz w:val="21"/>
          <w:szCs w:val="21"/>
        </w:rPr>
        <w:t xml:space="preserve">L'analyse de la plateforme Booker.com met en évidence les piliers d'une solution mature du secteur. Ces enseignements orientent nos priorités MVP et notre feuille de route post-MVP :</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3200"/>
        <w:gridCol w:w="4026"/>
        <w:gridCol w:w="1800"/>
      </w:tblGrid>
      <w:tr>
        <w:trPr>
          <w:tblHeader/>
        </w:trPr>
        <w:tc>
          <w:tcPr>
            <w:tcW w:type="dxa" w:w="32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Pilier observé chez Booker</w:t>
            </w:r>
          </w:p>
        </w:tc>
        <w:tc>
          <w:tcPr>
            <w:tcW w:type="dxa" w:w="40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Traduction pour notre produit</w:t>
            </w:r>
          </w:p>
        </w:tc>
        <w:tc>
          <w:tcPr>
            <w:tcW w:type="dxa" w:w="18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Horizon</w:t>
            </w:r>
          </w:p>
        </w:tc>
      </w:tr>
      <w:tr>
        <w:tc>
          <w:tcPr>
            <w:tcW w:type="dxa" w:w="32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Réservation en ligne 24/7 et multi-canal (site, app, place de marché)</w:t>
            </w:r>
          </w:p>
        </w:tc>
        <w:tc>
          <w:tcPr>
            <w:tcW w:type="dxa" w:w="4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Moteur de disponibilité temps réel et parcours de réservation client fluide</w:t>
            </w:r>
          </w:p>
        </w:tc>
        <w:tc>
          <w:tcPr>
            <w:tcW w:type="dxa" w:w="1800"/>
            <w:shd w:fill="FFFFFF"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34744"/>
                <w:sz w:val="19"/>
                <w:szCs w:val="19"/>
              </w:rPr>
              <w:t xml:space="preserve">MVP</w:t>
            </w:r>
          </w:p>
        </w:tc>
      </w:tr>
      <w:tr>
        <w:tc>
          <w:tcPr>
            <w:tcW w:type="dxa" w:w="32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Réceptionniste IA (Messenger[ai]) gérant SMS et rendez-vous</w:t>
            </w:r>
          </w:p>
        </w:tc>
        <w:tc>
          <w:tcPr>
            <w:tcW w:type="dxa" w:w="4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Notifications automatisées d'abord ; assistant IA en phase ultérieure</w:t>
            </w:r>
          </w:p>
        </w:tc>
        <w:tc>
          <w:tcPr>
            <w:tcW w:type="dxa" w:w="18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44515E"/>
                <w:sz w:val="19"/>
                <w:szCs w:val="19"/>
              </w:rPr>
              <w:t xml:space="preserve">Post-MVP</w:t>
            </w:r>
          </w:p>
        </w:tc>
      </w:tr>
      <w:tr>
        <w:tc>
          <w:tcPr>
            <w:tcW w:type="dxa" w:w="32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POS intégré, Apple Pay, vente de produits, cartes cadeaux et forfaits</w:t>
            </w:r>
          </w:p>
        </w:tc>
        <w:tc>
          <w:tcPr>
            <w:tcW w:type="dxa" w:w="4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POS de base (services + retail) au MVP ; cartes cadeaux/forfaits ensuite</w:t>
            </w:r>
          </w:p>
        </w:tc>
        <w:tc>
          <w:tcPr>
            <w:tcW w:type="dxa" w:w="18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44515E"/>
                <w:sz w:val="19"/>
                <w:szCs w:val="19"/>
              </w:rPr>
              <w:t xml:space="preserve">MVP / Post-MVP</w:t>
            </w:r>
          </w:p>
        </w:tc>
      </w:tr>
      <w:tr>
        <w:tc>
          <w:tcPr>
            <w:tcW w:type="dxa" w:w="32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Outils de coordination d'équipe, substitutions, performance</w:t>
            </w:r>
          </w:p>
        </w:tc>
        <w:tc>
          <w:tcPr>
            <w:tcW w:type="dxa" w:w="4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Comptes staff, rôles, disponibilités et plages bloquées</w:t>
            </w:r>
          </w:p>
        </w:tc>
        <w:tc>
          <w:tcPr>
            <w:tcW w:type="dxa" w:w="1800"/>
            <w:shd w:fill="F2F6F6"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34744"/>
                <w:sz w:val="19"/>
                <w:szCs w:val="19"/>
              </w:rPr>
              <w:t xml:space="preserve">MVP</w:t>
            </w:r>
          </w:p>
        </w:tc>
      </w:tr>
      <w:tr>
        <w:tc>
          <w:tcPr>
            <w:tcW w:type="dxa" w:w="32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Marketing (booking de marque, emails/SMS ciblés, avis)</w:t>
            </w:r>
          </w:p>
        </w:tc>
        <w:tc>
          <w:tcPr>
            <w:tcW w:type="dxa" w:w="4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Hors périmètre MVP — phase de croissance</w:t>
            </w:r>
          </w:p>
        </w:tc>
        <w:tc>
          <w:tcPr>
            <w:tcW w:type="dxa" w:w="18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44515E"/>
                <w:sz w:val="19"/>
                <w:szCs w:val="19"/>
              </w:rPr>
              <w:t xml:space="preserve">Post-MVP</w:t>
            </w:r>
          </w:p>
        </w:tc>
      </w:tr>
      <w:tr>
        <w:tc>
          <w:tcPr>
            <w:tcW w:type="dxa" w:w="32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Insights de performance et reporting transactionnel détaillé</w:t>
            </w:r>
          </w:p>
        </w:tc>
        <w:tc>
          <w:tcPr>
            <w:tcW w:type="dxa" w:w="4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Reporting de base : revenu, volume, no-shows</w:t>
            </w:r>
          </w:p>
        </w:tc>
        <w:tc>
          <w:tcPr>
            <w:tcW w:type="dxa" w:w="1800"/>
            <w:shd w:fill="F2F6F6"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34744"/>
                <w:sz w:val="19"/>
                <w:szCs w:val="19"/>
              </w:rPr>
              <w:t xml:space="preserve">MVP</w:t>
            </w:r>
          </w:p>
        </w:tc>
      </w:tr>
      <w:tr>
        <w:tc>
          <w:tcPr>
            <w:tcW w:type="dxa" w:w="32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Inventaire (back bar), pourboires multi-staff, gestion caisse</w:t>
            </w:r>
          </w:p>
        </w:tc>
        <w:tc>
          <w:tcPr>
            <w:tcW w:type="dxa" w:w="4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Hors périmètre MVP — à intégrer progressivement</w:t>
            </w:r>
          </w:p>
        </w:tc>
        <w:tc>
          <w:tcPr>
            <w:tcW w:type="dxa" w:w="18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44515E"/>
                <w:sz w:val="19"/>
                <w:szCs w:val="19"/>
              </w:rPr>
              <w:t xml:space="preserve">Post-MVP</w:t>
            </w:r>
          </w:p>
        </w:tc>
      </w:tr>
    </w:tbl>
    <w:p>
      <w:pPr>
        <w:spacing w:after="80"/>
      </w:pPr>
      <w:r>
        <w:rPr>
          <w:rFonts w:ascii="Calibri" w:cs="Calibri" w:eastAsia="Calibri" w:hAnsi="Calibri"/>
          <w:b w:val="false"/>
          <w:bCs w:val="false"/>
          <w:i w:val="false"/>
          <w:iCs w:val="false"/>
          <w:color w:val="1B2733"/>
          <w:sz w:val="21"/>
          <w:szCs w:val="21"/>
        </w:rPr>
        <w:t xml:space="preserve"/>
      </w:r>
    </w:p>
    <w:tbl>
      <w:tblPr>
        <w:tblW w:type="dxa" w:w="9026"/>
        <w:tblBorders>
          <w:top w:val="single" w:color="EAF2F1" w:sz="2"/>
          <w:left w:val="single" w:color="1F6F6B" w:sz="24"/>
          <w:bottom w:val="single" w:color="EAF2F1" w:sz="2"/>
          <w:right w:val="single" w:color="EAF2F1" w:sz="2"/>
          <w:insideH w:val="none"/>
          <w:insideV w:val="none"/>
        </w:tblBorders>
      </w:tblPr>
      <w:tblGrid>
        <w:gridCol w:w="9026"/>
      </w:tblGrid>
      <w:tr>
        <w:tc>
          <w:tcPr>
            <w:tcW w:type="dxa" w:w="9026"/>
            <w:shd w:fill="EAF2F1" w:color="auto" w:val="clear"/>
            <w:tcMar>
              <w:top w:type="dxa" w:w="120"/>
              <w:left w:type="dxa" w:w="200"/>
              <w:bottom w:type="dxa" w:w="120"/>
              <w:right w:type="dxa" w:w="160"/>
            </w:tcMar>
          </w:tcPr>
          <w:p>
            <w:pPr>
              <w:spacing w:after="60"/>
            </w:pPr>
            <w:r>
              <w:rPr>
                <w:rFonts w:ascii="Calibri" w:cs="Calibri" w:eastAsia="Calibri" w:hAnsi="Calibri"/>
                <w:b/>
                <w:bCs/>
                <w:i w:val="false"/>
                <w:iCs w:val="false"/>
                <w:color w:val="134744"/>
                <w:sz w:val="21"/>
                <w:szCs w:val="21"/>
              </w:rPr>
              <w:t xml:space="preserve">Positionnement MVP</w:t>
            </w:r>
          </w:p>
          <w:p>
            <w:pPr>
              <w:spacing w:after="0" w:line="264"/>
            </w:pPr>
            <w:r>
              <w:rPr>
                <w:rFonts w:ascii="Calibri" w:cs="Calibri" w:eastAsia="Calibri" w:hAnsi="Calibri"/>
                <w:b w:val="false"/>
                <w:bCs w:val="false"/>
                <w:i w:val="false"/>
                <w:iCs w:val="false"/>
                <w:color w:val="1B2733"/>
                <w:sz w:val="20"/>
                <w:szCs w:val="20"/>
              </w:rPr>
              <w:t xml:space="preserve">Notre MVP se concentre délibérément sur la boucle de valeur fondamentale : réserver → confirmer → honorer le rendez-vous → encaisser → mesurer. Les fonctionnalités de fidélisation, marketing, inventaire et multi-établissement — présentes chez Booker — sont explicitement reportées aux phases ultérieures afin de livrer vite un produit utilisable et générateur de revenus.</w:t>
            </w:r>
          </w:p>
        </w:tc>
      </w:tr>
    </w:tbl>
    <w:p>
      <w:pPr>
        <w:pStyle w:val="Heading2"/>
        <w:spacing w:after="100" w:before="240"/>
      </w:pPr>
      <w:r>
        <w:rPr>
          <w:rFonts w:ascii="Calibri" w:cs="Calibri" w:eastAsia="Calibri" w:hAnsi="Calibri"/>
          <w:b/>
          <w:bCs/>
          <w:color w:val="1F6F6B"/>
          <w:sz w:val="25"/>
          <w:szCs w:val="25"/>
        </w:rPr>
        <w:t xml:space="preserve">1.4 Rappel du périmètre MVP</w:t>
      </w:r>
    </w:p>
    <w:p>
      <w:pPr>
        <w:spacing w:after="120" w:before="0" w:line="276"/>
      </w:pPr>
      <w:r>
        <w:rPr>
          <w:rFonts w:ascii="Calibri" w:cs="Calibri" w:eastAsia="Calibri" w:hAnsi="Calibri"/>
          <w:b w:val="false"/>
          <w:bCs w:val="false"/>
          <w:i w:val="false"/>
          <w:iCs w:val="false"/>
          <w:color w:val="1B2733"/>
          <w:sz w:val="21"/>
          <w:szCs w:val="21"/>
        </w:rPr>
        <w:t xml:space="preserve">Le périmètre retenu couvre six domaines fonctionnels. Les éléments hors périmètre sont listés pour éviter toute dérive de portée (scope creep).</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2200"/>
        <w:gridCol w:w="6826"/>
      </w:tblGrid>
      <w:tr>
        <w:trPr>
          <w:tblHeader/>
        </w:trPr>
        <w:tc>
          <w:tcPr>
            <w:tcW w:type="dxa" w:w="22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Domaine</w:t>
            </w:r>
          </w:p>
        </w:tc>
        <w:tc>
          <w:tcPr>
            <w:tcW w:type="dxa" w:w="68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Fonctionnalités clés incluses au MVP</w:t>
            </w:r>
          </w:p>
        </w:tc>
      </w:tr>
      <w:tr>
        <w:tc>
          <w:tcPr>
            <w:tcW w:type="dxa" w:w="22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Réservation client</w:t>
            </w:r>
          </w:p>
        </w:tc>
        <w:tc>
          <w:tcPr>
            <w:tcW w:type="dxa" w:w="68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Catalogue de services (durée, prix), choix du praticien ou « premier disponible », calendrier de disponibilité temps réel, réservation/report/annulation, confirmations et rappels e-mail/SMS, compte client avec historique.</w:t>
            </w:r>
          </w:p>
        </w:tc>
      </w:tr>
      <w:tr>
        <w:tc>
          <w:tcPr>
            <w:tcW w:type="dxa" w:w="22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Back-office / Admin</w:t>
            </w:r>
          </w:p>
        </w:tc>
        <w:tc>
          <w:tcPr>
            <w:tcW w:type="dxa" w:w="68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Vue calendrier jour/semaine, création et édition manuelle de RDV (front-desk), gestion des horaires du personnel, catalogue de services, CRM client de base (coordonnées, notes, historique de visites).</w:t>
            </w:r>
          </w:p>
        </w:tc>
      </w:tr>
      <w:tr>
        <w:tc>
          <w:tcPr>
            <w:tcW w:type="dxa" w:w="22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Gestion du personnel</w:t>
            </w:r>
          </w:p>
        </w:tc>
        <w:tc>
          <w:tcPr>
            <w:tcW w:type="dxa" w:w="68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Comptes staff avec rôles et permissions, affectation de services par praticien, disponibilités et plages bloquées.</w:t>
            </w:r>
          </w:p>
        </w:tc>
      </w:tr>
      <w:tr>
        <w:tc>
          <w:tcPr>
            <w:tcW w:type="dxa" w:w="22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Paiements</w:t>
            </w:r>
          </w:p>
        </w:tc>
        <w:tc>
          <w:tcPr>
            <w:tcW w:type="dxa" w:w="68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Encaissement au checkout (carte/espèces), POS de base (services + produits retail), historique des ventes.</w:t>
            </w:r>
          </w:p>
        </w:tc>
      </w:tr>
      <w:tr>
        <w:tc>
          <w:tcPr>
            <w:tcW w:type="dxa" w:w="22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Notifications</w:t>
            </w:r>
          </w:p>
        </w:tc>
        <w:tc>
          <w:tcPr>
            <w:tcW w:type="dxa" w:w="68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Confirmation automatique, rappel 24 h avant, avis d'annulation au staff et au client.</w:t>
            </w:r>
          </w:p>
        </w:tc>
      </w:tr>
      <w:tr>
        <w:tc>
          <w:tcPr>
            <w:tcW w:type="dxa" w:w="22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Reporting de base</w:t>
            </w:r>
          </w:p>
        </w:tc>
        <w:tc>
          <w:tcPr>
            <w:tcW w:type="dxa" w:w="68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Synthèse du revenu quotidien, volume de rendez-vous, suivi des no-shows.</w:t>
            </w:r>
          </w:p>
        </w:tc>
      </w:tr>
    </w:tbl>
    <w:p>
      <w:pPr>
        <w:spacing w:after="60"/>
      </w:pPr>
      <w:r>
        <w:rPr>
          <w:rFonts w:ascii="Calibri" w:cs="Calibri" w:eastAsia="Calibri" w:hAnsi="Calibri"/>
          <w:b w:val="false"/>
          <w:bCs w:val="false"/>
          <w:i w:val="false"/>
          <w:iCs w:val="false"/>
          <w:color w:val="1B2733"/>
          <w:sz w:val="21"/>
          <w:szCs w:val="21"/>
        </w:rPr>
        <w:t xml:space="preserve"/>
      </w:r>
    </w:p>
    <w:tbl>
      <w:tblPr>
        <w:tblW w:type="dxa" w:w="9026"/>
        <w:tblBorders>
          <w:top w:val="single" w:color="FBF3E4" w:sz="2"/>
          <w:left w:val="single" w:color="C9A24B" w:sz="24"/>
          <w:bottom w:val="single" w:color="FBF3E4" w:sz="2"/>
          <w:right w:val="single" w:color="FBF3E4" w:sz="2"/>
          <w:insideH w:val="none"/>
          <w:insideV w:val="none"/>
        </w:tblBorders>
      </w:tblPr>
      <w:tblGrid>
        <w:gridCol w:w="9026"/>
      </w:tblGrid>
      <w:tr>
        <w:tc>
          <w:tcPr>
            <w:tcW w:type="dxa" w:w="9026"/>
            <w:shd w:fill="FBF3E4" w:color="auto" w:val="clear"/>
            <w:tcMar>
              <w:top w:type="dxa" w:w="120"/>
              <w:left w:type="dxa" w:w="200"/>
              <w:bottom w:type="dxa" w:w="120"/>
              <w:right w:type="dxa" w:w="160"/>
            </w:tcMar>
          </w:tcPr>
          <w:p>
            <w:pPr>
              <w:spacing w:after="60"/>
            </w:pPr>
            <w:r>
              <w:rPr>
                <w:rFonts w:ascii="Calibri" w:cs="Calibri" w:eastAsia="Calibri" w:hAnsi="Calibri"/>
                <w:b/>
                <w:bCs/>
                <w:i w:val="false"/>
                <w:iCs w:val="false"/>
                <w:color w:val="134744"/>
                <w:sz w:val="21"/>
                <w:szCs w:val="21"/>
              </w:rPr>
              <w:t xml:space="preserve">Hors périmètre MVP (phases futures)</w:t>
            </w:r>
          </w:p>
          <w:p>
            <w:pPr>
              <w:spacing w:after="0" w:line="264"/>
            </w:pPr>
            <w:r>
              <w:rPr>
                <w:rFonts w:ascii="Calibri" w:cs="Calibri" w:eastAsia="Calibri" w:hAnsi="Calibri"/>
                <w:b w:val="false"/>
                <w:bCs w:val="false"/>
                <w:i w:val="false"/>
                <w:iCs w:val="false"/>
                <w:color w:val="1B2733"/>
                <w:sz w:val="20"/>
                <w:szCs w:val="20"/>
              </w:rPr>
              <w:t xml:space="preserve">Abonnements et forfaits · cartes cadeaux · campagnes marketing et e-mailing · paie (payroll) · multi-établissement · gestion d'inventaire · assistant de messagerie IA · référencement sur une place de marché tierce.</w:t>
            </w:r>
          </w:p>
        </w:tc>
      </w:tr>
    </w:tbl>
    <w:p>
      <w:r>
        <w:br w:type="page"/>
      </w:r>
    </w:p>
    <w:p>
      <w:pPr>
        <w:pStyle w:val="Heading1"/>
        <w:spacing w:after="140" w:before="320"/>
      </w:pPr>
      <w:r>
        <w:rPr>
          <w:rFonts w:ascii="Calibri" w:cs="Calibri" w:eastAsia="Calibri" w:hAnsi="Calibri"/>
          <w:b/>
          <w:bCs/>
          <w:color w:val="134744"/>
          <w:sz w:val="30"/>
          <w:szCs w:val="30"/>
        </w:rPr>
        <w:t xml:space="preserve">2. Architecture technique cible</w:t>
      </w:r>
    </w:p>
    <w:p>
      <w:pPr>
        <w:pStyle w:val="Heading2"/>
        <w:spacing w:after="100" w:before="240"/>
      </w:pPr>
      <w:r>
        <w:rPr>
          <w:rFonts w:ascii="Calibri" w:cs="Calibri" w:eastAsia="Calibri" w:hAnsi="Calibri"/>
          <w:b/>
          <w:bCs/>
          <w:color w:val="1F6F6B"/>
          <w:sz w:val="25"/>
          <w:szCs w:val="25"/>
        </w:rPr>
        <w:t xml:space="preserve">2.1 Principes d'architecture</w:t>
      </w:r>
    </w:p>
    <w:p>
      <w:pPr>
        <w:spacing w:after="120" w:before="0" w:line="276"/>
      </w:pPr>
      <w:r>
        <w:rPr>
          <w:rFonts w:ascii="Calibri" w:cs="Calibri" w:eastAsia="Calibri" w:hAnsi="Calibri"/>
          <w:b w:val="false"/>
          <w:bCs w:val="false"/>
          <w:i w:val="false"/>
          <w:iCs w:val="false"/>
          <w:color w:val="1B2733"/>
          <w:sz w:val="21"/>
          <w:szCs w:val="21"/>
        </w:rPr>
        <w:t xml:space="preserve">L'architecture retenue privilégie la simplicité de mise en œuvre au stade MVP tout en préservant les capacités d'évolution vers une plateforme multi-établissement et multi-tenant. Les principes directeurs sont les suivants :</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Monolithe modulaire d'abord. </w:t>
      </w:r>
      <w:r>
        <w:rPr>
          <w:rFonts w:ascii="Calibri" w:cs="Calibri" w:eastAsia="Calibri" w:hAnsi="Calibri"/>
          <w:b w:val="false"/>
          <w:bCs w:val="false"/>
          <w:i w:val="false"/>
          <w:iCs w:val="false"/>
          <w:color w:val="1B2733"/>
          <w:sz w:val="21"/>
          <w:szCs w:val="21"/>
        </w:rPr>
        <w:t xml:space="preserve">Un backend applicatif unique, structuré en modules métier découplés (réservation, catalogue, staff, paiements, notifications, reporting), plutôt qu'une architecture microservices prématurée. Cela réduit le coût opérationnel du MVP tout en autorisant une extraction ultérieure en services distincts.</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Cloud-native et managé. </w:t>
      </w:r>
      <w:r>
        <w:rPr>
          <w:rFonts w:ascii="Calibri" w:cs="Calibri" w:eastAsia="Calibri" w:hAnsi="Calibri"/>
          <w:b w:val="false"/>
          <w:bCs w:val="false"/>
          <w:i w:val="false"/>
          <w:iCs w:val="false"/>
          <w:color w:val="1B2733"/>
          <w:sz w:val="21"/>
          <w:szCs w:val="21"/>
        </w:rPr>
        <w:t xml:space="preserve">Recours systématique aux services AWS managés (bases de données, files, notifications) pour minimiser la charge d'exploitation.</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Multi-tenant dès la conception. </w:t>
      </w:r>
      <w:r>
        <w:rPr>
          <w:rFonts w:ascii="Calibri" w:cs="Calibri" w:eastAsia="Calibri" w:hAnsi="Calibri"/>
          <w:b w:val="false"/>
          <w:bCs w:val="false"/>
          <w:i w:val="false"/>
          <w:iCs w:val="false"/>
          <w:color w:val="1B2733"/>
          <w:sz w:val="21"/>
          <w:szCs w:val="21"/>
        </w:rPr>
        <w:t xml:space="preserve">Isolation logique des données par établissement (tenant_id) dès le modèle de données, afin de préparer l'ouverture à plusieurs salons sans refonte.</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API-first. </w:t>
      </w:r>
      <w:r>
        <w:rPr>
          <w:rFonts w:ascii="Calibri" w:cs="Calibri" w:eastAsia="Calibri" w:hAnsi="Calibri"/>
          <w:b w:val="false"/>
          <w:bCs w:val="false"/>
          <w:i w:val="false"/>
          <w:iCs w:val="false"/>
          <w:color w:val="1B2733"/>
          <w:sz w:val="21"/>
          <w:szCs w:val="21"/>
        </w:rPr>
        <w:t xml:space="preserve">Une API REST/JSON versionnée expose l'ensemble des capacités, consommée par le web client, le tableau de bord admin et une future application mobile.</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Sécurité et conformité par défaut. </w:t>
      </w:r>
      <w:r>
        <w:rPr>
          <w:rFonts w:ascii="Calibri" w:cs="Calibri" w:eastAsia="Calibri" w:hAnsi="Calibri"/>
          <w:b w:val="false"/>
          <w:bCs w:val="false"/>
          <w:i w:val="false"/>
          <w:iCs w:val="false"/>
          <w:color w:val="1B2733"/>
          <w:sz w:val="21"/>
          <w:szCs w:val="21"/>
        </w:rPr>
        <w:t xml:space="preserve">Chiffrement au repos et en transit, externalisation de la conformité PCI-DSS au prestataire de paiement, respect des principes RGPD sur les données clients.</w:t>
      </w:r>
    </w:p>
    <w:p>
      <w:pPr>
        <w:pStyle w:val="Heading2"/>
        <w:spacing w:after="100" w:before="240"/>
      </w:pPr>
      <w:r>
        <w:rPr>
          <w:rFonts w:ascii="Calibri" w:cs="Calibri" w:eastAsia="Calibri" w:hAnsi="Calibri"/>
          <w:b/>
          <w:bCs/>
          <w:color w:val="1F6F6B"/>
          <w:sz w:val="25"/>
          <w:szCs w:val="25"/>
        </w:rPr>
        <w:t xml:space="preserve">2.2 Stack technologique proposée</w:t>
      </w:r>
    </w:p>
    <w:p>
      <w:pPr>
        <w:spacing w:after="120" w:before="0" w:line="276"/>
      </w:pPr>
      <w:r>
        <w:rPr>
          <w:rFonts w:ascii="Calibri" w:cs="Calibri" w:eastAsia="Calibri" w:hAnsi="Calibri"/>
          <w:b w:val="false"/>
          <w:bCs w:val="false"/>
          <w:i w:val="false"/>
          <w:iCs w:val="false"/>
          <w:color w:val="1B2733"/>
          <w:sz w:val="21"/>
          <w:szCs w:val="21"/>
        </w:rPr>
        <w:t xml:space="preserve">La pile technique suivante est recommandée. Elle repose sur des technologies matures, largement documentées et bien intégrées à l'écosystème AWS.</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2000"/>
        <w:gridCol w:w="3000"/>
        <w:gridCol w:w="4026"/>
      </w:tblGrid>
      <w:tr>
        <w:trPr>
          <w:tblHeader/>
        </w:trPr>
        <w:tc>
          <w:tcPr>
            <w:tcW w:type="dxa" w:w="20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Couche</w:t>
            </w:r>
          </w:p>
        </w:tc>
        <w:tc>
          <w:tcPr>
            <w:tcW w:type="dxa" w:w="30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Technologie proposée</w:t>
            </w:r>
          </w:p>
        </w:tc>
        <w:tc>
          <w:tcPr>
            <w:tcW w:type="dxa" w:w="40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Justification</w:t>
            </w:r>
          </w:p>
        </w:tc>
      </w:tr>
      <w:tr>
        <w:tc>
          <w:tcPr>
            <w:tcW w:type="dxa" w:w="2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Web client &amp; Admin</w:t>
            </w:r>
          </w:p>
        </w:tc>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React + Next.js (TypeScript)</w:t>
            </w:r>
          </w:p>
        </w:tc>
        <w:tc>
          <w:tcPr>
            <w:tcW w:type="dxa" w:w="4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Rendu performant, SEO pour les pages de réservation publiques, écosystème riche.</w:t>
            </w:r>
          </w:p>
        </w:tc>
      </w:tr>
      <w:tr>
        <w:tc>
          <w:tcPr>
            <w:tcW w:type="dxa" w:w="2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Application mobile</w:t>
            </w:r>
          </w:p>
        </w:tc>
        <w:tc>
          <w:tcPr>
            <w:tcW w:type="dxa" w:w="3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React Native (post-MVP proche)</w:t>
            </w:r>
          </w:p>
        </w:tc>
        <w:tc>
          <w:tcPr>
            <w:tcW w:type="dxa" w:w="4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Réutilisation des compétences et d'une partie du code TypeScript.</w:t>
            </w:r>
          </w:p>
        </w:tc>
      </w:tr>
      <w:tr>
        <w:tc>
          <w:tcPr>
            <w:tcW w:type="dxa" w:w="2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Backend / API</w:t>
            </w:r>
          </w:p>
        </w:tc>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Node.js (NestJS) ou Python (FastAPI/Django)</w:t>
            </w:r>
          </w:p>
        </w:tc>
        <w:tc>
          <w:tcPr>
            <w:tcW w:type="dxa" w:w="4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Framework structurant, typage, productivité élevée, adapté au monolithe modulaire.</w:t>
            </w:r>
          </w:p>
        </w:tc>
      </w:tr>
      <w:tr>
        <w:tc>
          <w:tcPr>
            <w:tcW w:type="dxa" w:w="2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Base de données</w:t>
            </w:r>
          </w:p>
        </w:tc>
        <w:tc>
          <w:tcPr>
            <w:tcW w:type="dxa" w:w="3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PostgreSQL (Amazon RDS)</w:t>
            </w:r>
          </w:p>
        </w:tc>
        <w:tc>
          <w:tcPr>
            <w:tcW w:type="dxa" w:w="4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Relationnel robuste, transactions ACID indispensables pour la réservation et le paiement.</w:t>
            </w:r>
          </w:p>
        </w:tc>
      </w:tr>
      <w:tr>
        <w:tc>
          <w:tcPr>
            <w:tcW w:type="dxa" w:w="2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Cache &amp; sessions</w:t>
            </w:r>
          </w:p>
        </w:tc>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Redis (Amazon ElastiCache)</w:t>
            </w:r>
          </w:p>
        </w:tc>
        <w:tc>
          <w:tcPr>
            <w:tcW w:type="dxa" w:w="4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Cache de disponibilités, verrous de réservation, files légères.</w:t>
            </w:r>
          </w:p>
        </w:tc>
      </w:tr>
      <w:tr>
        <w:tc>
          <w:tcPr>
            <w:tcW w:type="dxa" w:w="2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Recherche/plein-texte</w:t>
            </w:r>
          </w:p>
        </w:tc>
        <w:tc>
          <w:tcPr>
            <w:tcW w:type="dxa" w:w="3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PostgreSQL (extensions) au MVP</w:t>
            </w:r>
          </w:p>
        </w:tc>
        <w:tc>
          <w:tcPr>
            <w:tcW w:type="dxa" w:w="4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Suffisant pour le catalogue ; OpenSearch envisageable ultérieurement.</w:t>
            </w:r>
          </w:p>
        </w:tc>
      </w:tr>
      <w:tr>
        <w:tc>
          <w:tcPr>
            <w:tcW w:type="dxa" w:w="2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Paiements</w:t>
            </w:r>
          </w:p>
        </w:tc>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Stripe (ou Adyen)</w:t>
            </w:r>
          </w:p>
        </w:tc>
        <w:tc>
          <w:tcPr>
            <w:tcW w:type="dxa" w:w="4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PCI-DSS pris en charge par le prestataire, tokenisation, Apple/Google Pay natifs.</w:t>
            </w:r>
          </w:p>
        </w:tc>
      </w:tr>
      <w:tr>
        <w:tc>
          <w:tcPr>
            <w:tcW w:type="dxa" w:w="2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E-mails transactionnels</w:t>
            </w:r>
          </w:p>
        </w:tc>
        <w:tc>
          <w:tcPr>
            <w:tcW w:type="dxa" w:w="3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SES</w:t>
            </w:r>
          </w:p>
        </w:tc>
        <w:tc>
          <w:tcPr>
            <w:tcW w:type="dxa" w:w="4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Coût faible, intégration native, bonne délivrabilité.</w:t>
            </w:r>
          </w:p>
        </w:tc>
      </w:tr>
      <w:tr>
        <w:tc>
          <w:tcPr>
            <w:tcW w:type="dxa" w:w="2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SMS</w:t>
            </w:r>
          </w:p>
        </w:tc>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SNS / Pinpoint (ou Twilio)</w:t>
            </w:r>
          </w:p>
        </w:tc>
        <w:tc>
          <w:tcPr>
            <w:tcW w:type="dxa" w:w="4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Rappels et confirmations ; Twilio en secours selon la couverture pays.</w:t>
            </w:r>
          </w:p>
        </w:tc>
      </w:tr>
      <w:tr>
        <w:tc>
          <w:tcPr>
            <w:tcW w:type="dxa" w:w="2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Conteneurisation</w:t>
            </w:r>
          </w:p>
        </w:tc>
        <w:tc>
          <w:tcPr>
            <w:tcW w:type="dxa" w:w="3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Docker + Amazon ECS (Fargate)</w:t>
            </w:r>
          </w:p>
        </w:tc>
        <w:tc>
          <w:tcPr>
            <w:tcW w:type="dxa" w:w="4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Exécution serverless de conteneurs, sans gestion de serveurs.</w:t>
            </w:r>
          </w:p>
        </w:tc>
      </w:tr>
      <w:tr>
        <w:tc>
          <w:tcPr>
            <w:tcW w:type="dxa" w:w="2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IaC</w:t>
            </w:r>
          </w:p>
        </w:tc>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Terraform (ou AWS CDK)</w:t>
            </w:r>
          </w:p>
        </w:tc>
        <w:tc>
          <w:tcPr>
            <w:tcW w:type="dxa" w:w="4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Infrastructure reproductible, versionnée, multi-environnements.</w:t>
            </w:r>
          </w:p>
        </w:tc>
      </w:tr>
    </w:tbl>
    <w:p>
      <w:pPr>
        <w:pStyle w:val="Heading2"/>
        <w:spacing w:after="100" w:before="240"/>
      </w:pPr>
      <w:r>
        <w:rPr>
          <w:rFonts w:ascii="Calibri" w:cs="Calibri" w:eastAsia="Calibri" w:hAnsi="Calibri"/>
          <w:b/>
          <w:bCs/>
          <w:color w:val="1F6F6B"/>
          <w:sz w:val="25"/>
          <w:szCs w:val="25"/>
        </w:rPr>
        <w:t xml:space="preserve">2.3 Composants applicatifs (modules métier)</w:t>
      </w:r>
    </w:p>
    <w:p>
      <w:pPr>
        <w:spacing w:after="120" w:before="0" w:line="276"/>
      </w:pPr>
      <w:r>
        <w:rPr>
          <w:rFonts w:ascii="Calibri" w:cs="Calibri" w:eastAsia="Calibri" w:hAnsi="Calibri"/>
          <w:b w:val="false"/>
          <w:bCs w:val="false"/>
          <w:i w:val="false"/>
          <w:iCs w:val="false"/>
          <w:color w:val="1B2733"/>
          <w:sz w:val="21"/>
          <w:szCs w:val="21"/>
        </w:rPr>
        <w:t xml:space="preserve">Le backend est organisé en modules cohérents avec le périmètre MVP. Chaque module encapsule ses règles métier et expose ses points d'entrée d'API.</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2400"/>
        <w:gridCol w:w="6626"/>
      </w:tblGrid>
      <w:tr>
        <w:trPr>
          <w:tblHeader/>
        </w:trPr>
        <w:tc>
          <w:tcPr>
            <w:tcW w:type="dxa" w:w="24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Module</w:t>
            </w:r>
          </w:p>
        </w:tc>
        <w:tc>
          <w:tcPr>
            <w:tcW w:type="dxa" w:w="66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Responsabilités principales</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Identité &amp; accès</w:t>
            </w:r>
          </w:p>
        </w:tc>
        <w:tc>
          <w:tcPr>
            <w:tcW w:type="dxa" w:w="66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Authentification (clients, staff, admin), gestion des rôles et permissions, tenants.</w:t>
            </w:r>
          </w:p>
        </w:tc>
      </w:tr>
      <w:tr>
        <w:tc>
          <w:tcPr>
            <w:tcW w:type="dxa" w:w="2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Catalogue de services</w:t>
            </w:r>
          </w:p>
        </w:tc>
        <w:tc>
          <w:tcPr>
            <w:tcW w:type="dxa" w:w="66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Services, catégories, durée, prix, affectation aux praticiens.</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Disponibilités &amp; agenda</w:t>
            </w:r>
          </w:p>
        </w:tc>
        <w:tc>
          <w:tcPr>
            <w:tcW w:type="dxa" w:w="66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Calcul de créneaux libres en temps réel, horaires du staff, plages bloquées, règles de préparation/finition.</w:t>
            </w:r>
          </w:p>
        </w:tc>
      </w:tr>
      <w:tr>
        <w:tc>
          <w:tcPr>
            <w:tcW w:type="dxa" w:w="2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Réservations</w:t>
            </w:r>
          </w:p>
        </w:tc>
        <w:tc>
          <w:tcPr>
            <w:tcW w:type="dxa" w:w="66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Cycle de vie du RDV : création, report, annulation, no-show ; verrouillage anti-double-réservation.</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CRM client</w:t>
            </w:r>
          </w:p>
        </w:tc>
        <w:tc>
          <w:tcPr>
            <w:tcW w:type="dxa" w:w="66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Profils clients, coordonnées, notes, historique de visites.</w:t>
            </w:r>
          </w:p>
        </w:tc>
      </w:tr>
      <w:tr>
        <w:tc>
          <w:tcPr>
            <w:tcW w:type="dxa" w:w="2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Paiements &amp; POS</w:t>
            </w:r>
          </w:p>
        </w:tc>
        <w:tc>
          <w:tcPr>
            <w:tcW w:type="dxa" w:w="66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Encaissement, tokenisation, ventes retail, historique des transactions, réconciliation.</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Notifications</w:t>
            </w:r>
          </w:p>
        </w:tc>
        <w:tc>
          <w:tcPr>
            <w:tcW w:type="dxa" w:w="66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Orchestration des confirmations et rappels (e-mail/SMS), gestion des modèles et des envois planifiés.</w:t>
            </w:r>
          </w:p>
        </w:tc>
      </w:tr>
      <w:tr>
        <w:tc>
          <w:tcPr>
            <w:tcW w:type="dxa" w:w="2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Reporting</w:t>
            </w:r>
          </w:p>
        </w:tc>
        <w:tc>
          <w:tcPr>
            <w:tcW w:type="dxa" w:w="66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Agrégation du revenu, du volume de RDV et des no-shows ; exports.</w:t>
            </w:r>
          </w:p>
        </w:tc>
      </w:tr>
    </w:tbl>
    <w:p>
      <w:pPr>
        <w:pStyle w:val="Heading2"/>
        <w:spacing w:after="100" w:before="240"/>
      </w:pPr>
      <w:r>
        <w:rPr>
          <w:rFonts w:ascii="Calibri" w:cs="Calibri" w:eastAsia="Calibri" w:hAnsi="Calibri"/>
          <w:b/>
          <w:bCs/>
          <w:color w:val="1F6F6B"/>
          <w:sz w:val="25"/>
          <w:szCs w:val="25"/>
        </w:rPr>
        <w:t xml:space="preserve">2.4 Modèle de données — entités principales</w:t>
      </w:r>
    </w:p>
    <w:p>
      <w:pPr>
        <w:spacing w:after="120" w:before="0" w:line="276"/>
      </w:pPr>
      <w:r>
        <w:rPr>
          <w:rFonts w:ascii="Calibri" w:cs="Calibri" w:eastAsia="Calibri" w:hAnsi="Calibri"/>
          <w:b w:val="false"/>
          <w:bCs w:val="false"/>
          <w:i w:val="false"/>
          <w:iCs w:val="false"/>
          <w:color w:val="1B2733"/>
          <w:sz w:val="21"/>
          <w:szCs w:val="21"/>
        </w:rPr>
        <w:t xml:space="preserve">Les entités clés et leurs relations sont résumées ci-dessous. Toutes les tables métier portent un tenant_id pour l'isolation multi-établissement.</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1700"/>
        <w:gridCol w:w="4126"/>
        <w:gridCol w:w="3200"/>
      </w:tblGrid>
      <w:tr>
        <w:trPr>
          <w:tblHeader/>
        </w:trPr>
        <w:tc>
          <w:tcPr>
            <w:tcW w:type="dxa" w:w="17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Entité</w:t>
            </w:r>
          </w:p>
        </w:tc>
        <w:tc>
          <w:tcPr>
            <w:tcW w:type="dxa" w:w="41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Description</w:t>
            </w:r>
          </w:p>
        </w:tc>
        <w:tc>
          <w:tcPr>
            <w:tcW w:type="dxa" w:w="32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Relations majeures</w:t>
            </w:r>
          </w:p>
        </w:tc>
      </w:tr>
      <w:tr>
        <w:tc>
          <w:tcPr>
            <w:tcW w:type="dxa" w:w="17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Tenant</w:t>
            </w:r>
          </w:p>
        </w:tc>
        <w:tc>
          <w:tcPr>
            <w:tcW w:type="dxa" w:w="41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Établissement (salon/spa)</w:t>
            </w:r>
          </w:p>
        </w:tc>
        <w:tc>
          <w:tcPr>
            <w:tcW w:type="dxa" w:w="32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1–N vers Staff, Service, Client, Appointment</w:t>
            </w:r>
          </w:p>
        </w:tc>
      </w:tr>
      <w:tr>
        <w:tc>
          <w:tcPr>
            <w:tcW w:type="dxa" w:w="17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User</w:t>
            </w:r>
          </w:p>
        </w:tc>
        <w:tc>
          <w:tcPr>
            <w:tcW w:type="dxa" w:w="41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Compte (client / staff / admin) + rôle</w:t>
            </w:r>
          </w:p>
        </w:tc>
        <w:tc>
          <w:tcPr>
            <w:tcW w:type="dxa" w:w="32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N–1 vers Tenant ; 1–N vers Appointment</w:t>
            </w:r>
          </w:p>
        </w:tc>
      </w:tr>
      <w:tr>
        <w:tc>
          <w:tcPr>
            <w:tcW w:type="dxa" w:w="17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Service</w:t>
            </w:r>
          </w:p>
        </w:tc>
        <w:tc>
          <w:tcPr>
            <w:tcW w:type="dxa" w:w="41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Prestation (nom, durée, prix, catégorie)</w:t>
            </w:r>
          </w:p>
        </w:tc>
        <w:tc>
          <w:tcPr>
            <w:tcW w:type="dxa" w:w="32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N–N vers Staff ; 1–N vers Appointment</w:t>
            </w:r>
          </w:p>
        </w:tc>
      </w:tr>
      <w:tr>
        <w:tc>
          <w:tcPr>
            <w:tcW w:type="dxa" w:w="17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Staff</w:t>
            </w:r>
          </w:p>
        </w:tc>
        <w:tc>
          <w:tcPr>
            <w:tcW w:type="dxa" w:w="41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Praticien, horaires, plages bloquées</w:t>
            </w:r>
          </w:p>
        </w:tc>
        <w:tc>
          <w:tcPr>
            <w:tcW w:type="dxa" w:w="32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N–N vers Service ; 1–N vers Appointment</w:t>
            </w:r>
          </w:p>
        </w:tc>
      </w:tr>
      <w:tr>
        <w:tc>
          <w:tcPr>
            <w:tcW w:type="dxa" w:w="17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Appointment</w:t>
            </w:r>
          </w:p>
        </w:tc>
        <w:tc>
          <w:tcPr>
            <w:tcW w:type="dxa" w:w="41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Rendez-vous (statut, créneau, praticien)</w:t>
            </w:r>
          </w:p>
        </w:tc>
        <w:tc>
          <w:tcPr>
            <w:tcW w:type="dxa" w:w="32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N–1 vers Client, Staff, Service</w:t>
            </w:r>
          </w:p>
        </w:tc>
      </w:tr>
      <w:tr>
        <w:tc>
          <w:tcPr>
            <w:tcW w:type="dxa" w:w="17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Payment</w:t>
            </w:r>
          </w:p>
        </w:tc>
        <w:tc>
          <w:tcPr>
            <w:tcW w:type="dxa" w:w="41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Transaction (montant, moyen, statut)</w:t>
            </w:r>
          </w:p>
        </w:tc>
        <w:tc>
          <w:tcPr>
            <w:tcW w:type="dxa" w:w="32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1–1 vers Appointment ou vente POS</w:t>
            </w:r>
          </w:p>
        </w:tc>
      </w:tr>
      <w:tr>
        <w:tc>
          <w:tcPr>
            <w:tcW w:type="dxa" w:w="17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Notification</w:t>
            </w:r>
          </w:p>
        </w:tc>
        <w:tc>
          <w:tcPr>
            <w:tcW w:type="dxa" w:w="41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Message émis (type, canal, statut)</w:t>
            </w:r>
          </w:p>
        </w:tc>
        <w:tc>
          <w:tcPr>
            <w:tcW w:type="dxa" w:w="32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N–1 vers Appointment / Client</w:t>
            </w:r>
          </w:p>
        </w:tc>
      </w:tr>
    </w:tbl>
    <w:p>
      <w:r>
        <w:br w:type="page"/>
      </w:r>
    </w:p>
    <w:p>
      <w:pPr>
        <w:pStyle w:val="Heading1"/>
        <w:spacing w:after="140" w:before="320"/>
      </w:pPr>
      <w:r>
        <w:rPr>
          <w:rFonts w:ascii="Calibri" w:cs="Calibri" w:eastAsia="Calibri" w:hAnsi="Calibri"/>
          <w:b/>
          <w:bCs/>
          <w:color w:val="134744"/>
          <w:sz w:val="30"/>
          <w:szCs w:val="30"/>
        </w:rPr>
        <w:t xml:space="preserve">3. Roadmap et planning d'implémentation</w:t>
      </w:r>
    </w:p>
    <w:tbl>
      <w:tblPr>
        <w:tblW w:type="dxa" w:w="9026"/>
        <w:tblBorders>
          <w:top w:val="single" w:color="EAF2F1" w:sz="2"/>
          <w:left w:val="single" w:color="1F6F6B" w:sz="24"/>
          <w:bottom w:val="single" w:color="EAF2F1" w:sz="2"/>
          <w:right w:val="single" w:color="EAF2F1" w:sz="2"/>
          <w:insideH w:val="none"/>
          <w:insideV w:val="none"/>
        </w:tblBorders>
      </w:tblPr>
      <w:tblGrid>
        <w:gridCol w:w="9026"/>
      </w:tblGrid>
      <w:tr>
        <w:tc>
          <w:tcPr>
            <w:tcW w:type="dxa" w:w="9026"/>
            <w:shd w:fill="EAF2F1" w:color="auto" w:val="clear"/>
            <w:tcMar>
              <w:top w:type="dxa" w:w="120"/>
              <w:left w:type="dxa" w:w="200"/>
              <w:bottom w:type="dxa" w:w="120"/>
              <w:right w:type="dxa" w:w="160"/>
            </w:tcMar>
          </w:tcPr>
          <w:p>
            <w:pPr>
              <w:spacing w:after="60"/>
            </w:pPr>
            <w:r>
              <w:rPr>
                <w:rFonts w:ascii="Calibri" w:cs="Calibri" w:eastAsia="Calibri" w:hAnsi="Calibri"/>
                <w:b/>
                <w:bCs/>
                <w:i w:val="false"/>
                <w:iCs w:val="false"/>
                <w:color w:val="134744"/>
                <w:sz w:val="21"/>
                <w:szCs w:val="21"/>
              </w:rPr>
              <w:t xml:space="preserve">Cible 1 mois — modèle de livraison</w:t>
            </w:r>
          </w:p>
          <w:p>
            <w:pPr>
              <w:spacing w:after="0" w:line="264"/>
            </w:pPr>
            <w:r>
              <w:rPr>
                <w:rFonts w:ascii="Calibri" w:cs="Calibri" w:eastAsia="Calibri" w:hAnsi="Calibri"/>
                <w:b/>
                <w:bCs/>
                <w:i w:val="false"/>
                <w:iCs w:val="false"/>
                <w:color w:val="1B2733"/>
                <w:sz w:val="21"/>
                <w:szCs w:val="21"/>
              </w:rPr>
              <w:t xml:space="preserve">Ce plan comprime l'intégralité du périmètre MVP en 4 semaines. </w:t>
            </w:r>
            <w:r>
              <w:rPr>
                <w:rFonts w:ascii="Calibri" w:cs="Calibri" w:eastAsia="Calibri" w:hAnsi="Calibri"/>
                <w:b w:val="false"/>
                <w:bCs w:val="false"/>
                <w:i w:val="false"/>
                <w:iCs w:val="false"/>
                <w:color w:val="1B2733"/>
                <w:sz w:val="21"/>
                <w:szCs w:val="21"/>
              </w:rPr>
              <w:t xml:space="preserve">C'est un calendrier ambitieux, tenable uniquement sous certaines conditions (voir les hypothèses ci-dessous) : une équipe pluridisciplinaire expérimentée travaillant pleinement en parallèle, le recours à des services AWS managés et à des gabarits de démarrage éprouvés, des prestataires tiers pour le paiement et la messagerie (sans développement interne), et un périmètre strictement figé.</w:t>
            </w:r>
          </w:p>
        </w:tc>
      </w:tr>
    </w:tbl>
    <w:p>
      <w:pPr>
        <w:pStyle w:val="Heading2"/>
        <w:spacing w:after="100" w:before="240"/>
      </w:pPr>
      <w:r>
        <w:rPr>
          <w:rFonts w:ascii="Calibri" w:cs="Calibri" w:eastAsia="Calibri" w:hAnsi="Calibri"/>
          <w:b/>
          <w:bCs/>
          <w:color w:val="1F6F6B"/>
          <w:sz w:val="25"/>
          <w:szCs w:val="25"/>
        </w:rPr>
        <w:t xml:space="preserve">3.1 Méthodologie</w:t>
      </w:r>
    </w:p>
    <w:p>
      <w:pPr>
        <w:spacing w:after="120" w:before="0" w:line="276"/>
      </w:pPr>
      <w:r>
        <w:rPr>
          <w:rFonts w:ascii="Calibri" w:cs="Calibri" w:eastAsia="Calibri" w:hAnsi="Calibri"/>
          <w:b w:val="false"/>
          <w:bCs w:val="false"/>
          <w:i w:val="false"/>
          <w:iCs w:val="false"/>
          <w:color w:val="1B2733"/>
          <w:sz w:val="21"/>
          <w:szCs w:val="21"/>
        </w:rPr>
        <w:t xml:space="preserve">Le projet est conduit en mode Agile avec des sprints d'une semaine. Le travail est réparti en workstreams parallèles (infrastructure/DevOps, backend, frontend, QA) afin que les domaines avancent simultanément plutôt que séquentiellement. Chaque semaine se conclut par un incrément démontrable.</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Durée de sprint : </w:t>
      </w:r>
      <w:r>
        <w:rPr>
          <w:rFonts w:ascii="Calibri" w:cs="Calibri" w:eastAsia="Calibri" w:hAnsi="Calibri"/>
          <w:b w:val="false"/>
          <w:bCs w:val="false"/>
          <w:i w:val="false"/>
          <w:iCs w:val="false"/>
          <w:color w:val="1B2733"/>
          <w:sz w:val="21"/>
          <w:szCs w:val="21"/>
        </w:rPr>
        <w:t xml:space="preserve">1 semaine.</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Durée totale du MVP : </w:t>
      </w:r>
      <w:r>
        <w:rPr>
          <w:rFonts w:ascii="Calibri" w:cs="Calibri" w:eastAsia="Calibri" w:hAnsi="Calibri"/>
          <w:b w:val="false"/>
          <w:bCs w:val="false"/>
          <w:i w:val="false"/>
          <w:iCs w:val="false"/>
          <w:color w:val="1B2733"/>
          <w:sz w:val="21"/>
          <w:szCs w:val="21"/>
        </w:rPr>
        <w:t xml:space="preserve">4 semaines (1 mois), soit 4 sprints.</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Cérémonies : </w:t>
      </w:r>
      <w:r>
        <w:rPr>
          <w:rFonts w:ascii="Calibri" w:cs="Calibri" w:eastAsia="Calibri" w:hAnsi="Calibri"/>
          <w:b w:val="false"/>
          <w:bCs w:val="false"/>
          <w:i w:val="false"/>
          <w:iCs w:val="false"/>
          <w:color w:val="1B2733"/>
          <w:sz w:val="21"/>
          <w:szCs w:val="21"/>
        </w:rPr>
        <w:t xml:space="preserve">planification hebdomadaire, point quotidien, revue et rétrospective hebdomadaires ; démonstration en fin de semaine.</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Définition de « terminé » (DoD) : </w:t>
      </w:r>
      <w:r>
        <w:rPr>
          <w:rFonts w:ascii="Calibri" w:cs="Calibri" w:eastAsia="Calibri" w:hAnsi="Calibri"/>
          <w:b w:val="false"/>
          <w:bCs w:val="false"/>
          <w:i w:val="false"/>
          <w:iCs w:val="false"/>
          <w:color w:val="1B2733"/>
          <w:sz w:val="21"/>
          <w:szCs w:val="21"/>
        </w:rPr>
        <w:t xml:space="preserve">code revu, testé (unitaire + intégration), déployé en environnement de recette, documenté.</w:t>
      </w:r>
    </w:p>
    <w:p>
      <w:pPr>
        <w:pStyle w:val="Heading2"/>
        <w:spacing w:after="100" w:before="240"/>
      </w:pPr>
      <w:r>
        <w:rPr>
          <w:rFonts w:ascii="Calibri" w:cs="Calibri" w:eastAsia="Calibri" w:hAnsi="Calibri"/>
          <w:b/>
          <w:bCs/>
          <w:color w:val="1F6F6B"/>
          <w:sz w:val="25"/>
          <w:szCs w:val="25"/>
        </w:rPr>
        <w:t xml:space="preserve">3.2 Découpage hebdomadaire (workstreams en parallèle)</w:t>
      </w:r>
    </w:p>
    <w:p>
      <w:pPr>
        <w:spacing w:after="120" w:before="0" w:line="276"/>
      </w:pPr>
      <w:r>
        <w:rPr>
          <w:rFonts w:ascii="Calibri" w:cs="Calibri" w:eastAsia="Calibri" w:hAnsi="Calibri"/>
          <w:b w:val="false"/>
          <w:bCs w:val="false"/>
          <w:i w:val="false"/>
          <w:iCs w:val="false"/>
          <w:color w:val="1B2733"/>
          <w:sz w:val="21"/>
          <w:szCs w:val="21"/>
        </w:rPr>
        <w:t xml:space="preserve">Le MVP est livré sur quatre phases hebdomadaires. Au sein de chaque semaine, plusieurs workstreams s'exécutent en parallèle, ce qui rend la cible d'un mois atteignable.</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700"/>
        <w:gridCol w:w="2600"/>
        <w:gridCol w:w="5726"/>
      </w:tblGrid>
      <w:tr>
        <w:trPr>
          <w:tblHeader/>
        </w:trPr>
        <w:tc>
          <w:tcPr>
            <w:tcW w:type="dxa" w:w="7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Sem.</w:t>
            </w:r>
          </w:p>
        </w:tc>
        <w:tc>
          <w:tcPr>
            <w:tcW w:type="dxa" w:w="26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Thème</w:t>
            </w:r>
          </w:p>
        </w:tc>
        <w:tc>
          <w:tcPr>
            <w:tcW w:type="dxa" w:w="57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Workstreams en parallèle</w:t>
            </w:r>
          </w:p>
        </w:tc>
      </w:tr>
      <w:tr>
        <w:tc>
          <w:tcPr>
            <w:tcW w:type="dxa" w:w="700"/>
            <w:shd w:fill="FFFFFF"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B2733"/>
                <w:sz w:val="19"/>
                <w:szCs w:val="19"/>
              </w:rPr>
              <w:t xml:space="preserve">S1</w:t>
            </w:r>
          </w:p>
        </w:tc>
        <w:tc>
          <w:tcPr>
            <w:tcW w:type="dxa" w:w="2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Fondations &amp; services cœur</w:t>
            </w:r>
          </w:p>
        </w:tc>
        <w:tc>
          <w:tcPr>
            <w:tcW w:type="dxa" w:w="57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DevOps : socle AWS + CI/CD. Backend : modèle de données, auth/rôles, catalogue de services. Design : parcours UX &amp; design system.</w:t>
            </w:r>
          </w:p>
        </w:tc>
      </w:tr>
      <w:tr>
        <w:tc>
          <w:tcPr>
            <w:tcW w:type="dxa" w:w="700"/>
            <w:shd w:fill="F2F6F6"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B2733"/>
                <w:sz w:val="19"/>
                <w:szCs w:val="19"/>
              </w:rPr>
              <w:t xml:space="preserve">S2</w:t>
            </w:r>
          </w:p>
        </w:tc>
        <w:tc>
          <w:tcPr>
            <w:tcW w:type="dxa" w:w="26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Moteur de réservation &amp; expérience client</w:t>
            </w:r>
          </w:p>
        </w:tc>
        <w:tc>
          <w:tcPr>
            <w:tcW w:type="dxa" w:w="57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Backend : moteur de disponibilité temps réel, réservation/report/annulation, anti-double-réservation. Frontend : parcours client, comptes &amp; historique.</w:t>
            </w:r>
          </w:p>
        </w:tc>
      </w:tr>
      <w:tr>
        <w:tc>
          <w:tcPr>
            <w:tcW w:type="dxa" w:w="700"/>
            <w:shd w:fill="FFFFFF"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B2733"/>
                <w:sz w:val="19"/>
                <w:szCs w:val="19"/>
              </w:rPr>
              <w:t xml:space="preserve">S3</w:t>
            </w:r>
          </w:p>
        </w:tc>
        <w:tc>
          <w:tcPr>
            <w:tcW w:type="dxa" w:w="2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Back-office, staff &amp; paiements</w:t>
            </w:r>
          </w:p>
        </w:tc>
        <w:tc>
          <w:tcPr>
            <w:tcW w:type="dxa" w:w="57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Frontend : tableau de bord admin &amp; calendrier. Backend : gestion du staff, CRM de base, intégration paiement &amp; checkout, POS de base.</w:t>
            </w:r>
          </w:p>
        </w:tc>
      </w:tr>
      <w:tr>
        <w:tc>
          <w:tcPr>
            <w:tcW w:type="dxa" w:w="700"/>
            <w:shd w:fill="F2F6F6"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B2733"/>
                <w:sz w:val="19"/>
                <w:szCs w:val="19"/>
              </w:rPr>
              <w:t xml:space="preserve">S4</w:t>
            </w:r>
          </w:p>
        </w:tc>
        <w:tc>
          <w:tcPr>
            <w:tcW w:type="dxa" w:w="26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Notifications, reporting &amp; lancement</w:t>
            </w:r>
          </w:p>
        </w:tc>
        <w:tc>
          <w:tcPr>
            <w:tcW w:type="dxa" w:w="57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Backend : notifications (confirmations, rappels 24 h, annulations) &amp; reporting de base. QA : recette &amp; durcissement. DevOps : mise en production.</w:t>
            </w:r>
          </w:p>
        </w:tc>
      </w:tr>
    </w:tbl>
    <w:p>
      <w:pPr>
        <w:pStyle w:val="Heading2"/>
        <w:spacing w:after="100" w:before="240"/>
      </w:pPr>
      <w:r>
        <w:rPr>
          <w:rFonts w:ascii="Calibri" w:cs="Calibri" w:eastAsia="Calibri" w:hAnsi="Calibri"/>
          <w:b/>
          <w:bCs/>
          <w:color w:val="1F6F6B"/>
          <w:sz w:val="25"/>
          <w:szCs w:val="25"/>
        </w:rPr>
        <w:t xml:space="preserve">3.3 Détail des sprints</w:t>
      </w:r>
    </w:p>
    <w:p>
      <w:pPr>
        <w:spacing w:after="120" w:before="0" w:line="276"/>
      </w:pPr>
      <w:r>
        <w:rPr>
          <w:rFonts w:ascii="Calibri" w:cs="Calibri" w:eastAsia="Calibri" w:hAnsi="Calibri"/>
          <w:b w:val="false"/>
          <w:bCs w:val="false"/>
          <w:i w:val="false"/>
          <w:iCs w:val="false"/>
          <w:color w:val="1B2733"/>
          <w:sz w:val="21"/>
          <w:szCs w:val="21"/>
        </w:rPr>
        <w:t xml:space="preserve">Les quatre sprints d'une semaine ci-dessous rattachent chaque sprint à ses principaux lots de travaux (epics), livrés simultanément par les workstreams.</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1000"/>
        <w:gridCol w:w="900"/>
        <w:gridCol w:w="7126"/>
      </w:tblGrid>
      <w:tr>
        <w:trPr>
          <w:tblHeader/>
        </w:trPr>
        <w:tc>
          <w:tcPr>
            <w:tcW w:type="dxa" w:w="10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Sprint</w:t>
            </w:r>
          </w:p>
        </w:tc>
        <w:tc>
          <w:tcPr>
            <w:tcW w:type="dxa" w:w="9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Sem.</w:t>
            </w:r>
          </w:p>
        </w:tc>
        <w:tc>
          <w:tcPr>
            <w:tcW w:type="dxa" w:w="71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Contenu principal</w:t>
            </w:r>
          </w:p>
        </w:tc>
      </w:tr>
      <w:tr>
        <w:tc>
          <w:tcPr>
            <w:tcW w:type="dxa" w:w="1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S1</w:t>
            </w:r>
          </w:p>
        </w:tc>
        <w:tc>
          <w:tcPr>
            <w:tcW w:type="dxa" w:w="9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Sem. 1</w:t>
            </w:r>
          </w:p>
        </w:tc>
        <w:tc>
          <w:tcPr>
            <w:tcW w:type="dxa" w:w="71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Provisionnement du socle AWS (VPC, environnements) et du pipeline CI/CD ; modèle de données ; authentification et rôles ; module catalogue de services ; parcours UX et design system.</w:t>
            </w:r>
          </w:p>
        </w:tc>
      </w:tr>
      <w:tr>
        <w:tc>
          <w:tcPr>
            <w:tcW w:type="dxa" w:w="1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S2</w:t>
            </w:r>
          </w:p>
        </w:tc>
        <w:tc>
          <w:tcPr>
            <w:tcW w:type="dxa" w:w="9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Sem. 2</w:t>
            </w:r>
          </w:p>
        </w:tc>
        <w:tc>
          <w:tcPr>
            <w:tcW w:type="dxa" w:w="71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Moteur de disponibilité temps réel (créneaux en direct) ; réservation, report et annulation ; comptes clients et historique ; verrouillage transactionnel anti-double-réservation.</w:t>
            </w:r>
          </w:p>
        </w:tc>
      </w:tr>
      <w:tr>
        <w:tc>
          <w:tcPr>
            <w:tcW w:type="dxa" w:w="1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S3</w:t>
            </w:r>
          </w:p>
        </w:tc>
        <w:tc>
          <w:tcPr>
            <w:tcW w:type="dxa" w:w="9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Sem. 3</w:t>
            </w:r>
          </w:p>
        </w:tc>
        <w:tc>
          <w:tcPr>
            <w:tcW w:type="dxa" w:w="71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Tableau de bord admin avec calendrier jour/semaine et édition manuelle des RDV ; horaires du staff, plages bloquées et affectation des services ; CRM client de base ; intégration paiement (checkout tokenisé) et POS de base.</w:t>
            </w:r>
          </w:p>
        </w:tc>
      </w:tr>
      <w:tr>
        <w:tc>
          <w:tcPr>
            <w:tcW w:type="dxa" w:w="1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S4</w:t>
            </w:r>
          </w:p>
        </w:tc>
        <w:tc>
          <w:tcPr>
            <w:tcW w:type="dxa" w:w="9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Sem. 4</w:t>
            </w:r>
          </w:p>
        </w:tc>
        <w:tc>
          <w:tcPr>
            <w:tcW w:type="dxa" w:w="71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Notifications (confirmations, rappels 24 h, avis d'annulation) avec envois planifiés ; reporting de base (revenu, volume, no-shows) ; recette (UAT), durcissement sécurité/performance ; bascule et mise en production.</w:t>
            </w:r>
          </w:p>
        </w:tc>
      </w:tr>
    </w:tbl>
    <w:p>
      <w:pPr>
        <w:pStyle w:val="Heading2"/>
        <w:spacing w:after="100" w:before="240"/>
      </w:pPr>
      <w:r>
        <w:rPr>
          <w:rFonts w:ascii="Calibri" w:cs="Calibri" w:eastAsia="Calibri" w:hAnsi="Calibri"/>
          <w:b/>
          <w:bCs/>
          <w:color w:val="1F6F6B"/>
          <w:sz w:val="25"/>
          <w:szCs w:val="25"/>
        </w:rPr>
        <w:t xml:space="preserve">3.4 Jalons clés</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2900"/>
        <w:gridCol w:w="2000"/>
        <w:gridCol w:w="4126"/>
      </w:tblGrid>
      <w:tr>
        <w:trPr>
          <w:tblHeader/>
        </w:trPr>
        <w:tc>
          <w:tcPr>
            <w:tcW w:type="dxa" w:w="29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Jalon</w:t>
            </w:r>
          </w:p>
        </w:tc>
        <w:tc>
          <w:tcPr>
            <w:tcW w:type="dxa" w:w="20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Échéance (fin de semaine)</w:t>
            </w:r>
          </w:p>
        </w:tc>
        <w:tc>
          <w:tcPr>
            <w:tcW w:type="dxa" w:w="41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Critère de franchissement</w:t>
            </w:r>
          </w:p>
        </w:tc>
      </w:tr>
      <w:tr>
        <w:tc>
          <w:tcPr>
            <w:tcW w:type="dxa" w:w="2900"/>
            <w:shd w:fill="FFFFFF"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B2733"/>
                <w:sz w:val="19"/>
                <w:szCs w:val="19"/>
              </w:rPr>
              <w:t xml:space="preserve">M1 — Fondations prêtes</w:t>
            </w:r>
          </w:p>
        </w:tc>
        <w:tc>
          <w:tcPr>
            <w:tcW w:type="dxa" w:w="2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Sem. 1</w:t>
            </w:r>
          </w:p>
        </w:tc>
        <w:tc>
          <w:tcPr>
            <w:tcW w:type="dxa" w:w="41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Infrastructure de base déployée, CI/CD opérationnel, authentification et catalogue de services fonctionnels.</w:t>
            </w:r>
          </w:p>
        </w:tc>
      </w:tr>
      <w:tr>
        <w:tc>
          <w:tcPr>
            <w:tcW w:type="dxa" w:w="2900"/>
            <w:shd w:fill="F2F6F6"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B2733"/>
                <w:sz w:val="19"/>
                <w:szCs w:val="19"/>
              </w:rPr>
              <w:t xml:space="preserve">M2 — Réservation client complète</w:t>
            </w:r>
          </w:p>
        </w:tc>
        <w:tc>
          <w:tcPr>
            <w:tcW w:type="dxa" w:w="2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Sem. 2</w:t>
            </w:r>
          </w:p>
        </w:tc>
        <w:tc>
          <w:tcPr>
            <w:tcW w:type="dxa" w:w="41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Un client peut réserver, reporter, annuler et consulter son historique.</w:t>
            </w:r>
          </w:p>
        </w:tc>
      </w:tr>
      <w:tr>
        <w:tc>
          <w:tcPr>
            <w:tcW w:type="dxa" w:w="2900"/>
            <w:shd w:fill="FFFFFF"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B2733"/>
                <w:sz w:val="19"/>
                <w:szCs w:val="19"/>
              </w:rPr>
              <w:t xml:space="preserve">M3 — Back-office &amp; paiements en service</w:t>
            </w:r>
          </w:p>
        </w:tc>
        <w:tc>
          <w:tcPr>
            <w:tcW w:type="dxa" w:w="2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Sem. 3</w:t>
            </w:r>
          </w:p>
        </w:tc>
        <w:tc>
          <w:tcPr>
            <w:tcW w:type="dxa" w:w="41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Le front-desk gère l'agenda, le staff et les fiches clients ; encaissement au checkout et POS de base fonctionnels.</w:t>
            </w:r>
          </w:p>
        </w:tc>
      </w:tr>
      <w:tr>
        <w:tc>
          <w:tcPr>
            <w:tcW w:type="dxa" w:w="2900"/>
            <w:shd w:fill="F2F6F6"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B2733"/>
                <w:sz w:val="19"/>
                <w:szCs w:val="19"/>
              </w:rPr>
              <w:t xml:space="preserve">M4 — Go-Live</w:t>
            </w:r>
          </w:p>
        </w:tc>
        <w:tc>
          <w:tcPr>
            <w:tcW w:type="dxa" w:w="2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Sem. 4</w:t>
            </w:r>
          </w:p>
        </w:tc>
        <w:tc>
          <w:tcPr>
            <w:tcW w:type="dxa" w:w="41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Toutes les fonctionnalités MVP livrées, recette validée, durcies et en production.</w:t>
            </w:r>
          </w:p>
        </w:tc>
      </w:tr>
    </w:tbl>
    <w:p>
      <w:pPr>
        <w:pStyle w:val="Heading2"/>
        <w:spacing w:after="100" w:before="240"/>
      </w:pPr>
      <w:r>
        <w:rPr>
          <w:rFonts w:ascii="Calibri" w:cs="Calibri" w:eastAsia="Calibri" w:hAnsi="Calibri"/>
          <w:b/>
          <w:bCs/>
          <w:color w:val="1F6F6B"/>
          <w:sz w:val="25"/>
          <w:szCs w:val="25"/>
        </w:rPr>
        <w:t xml:space="preserve">3.5 Estimation d'effort (indicative)</w:t>
      </w:r>
    </w:p>
    <w:p>
      <w:pPr>
        <w:spacing w:after="120" w:before="0" w:line="276"/>
      </w:pPr>
      <w:r>
        <w:rPr>
          <w:rFonts w:ascii="Calibri" w:cs="Calibri" w:eastAsia="Calibri" w:hAnsi="Calibri"/>
          <w:b w:val="false"/>
          <w:bCs w:val="false"/>
          <w:i w:val="false"/>
          <w:iCs w:val="false"/>
          <w:color w:val="1B2733"/>
          <w:sz w:val="21"/>
          <w:szCs w:val="21"/>
        </w:rPr>
        <w:t xml:space="preserve">À titre d'ordre de grandeur, l'effort par workstream est estimé ci-dessous en jours-homme (j·h). Ces valeurs dimensionnent uniquement la charge de travail ; la constitution et la dotation de l'équipe sont volontairement hors du périmètre de ce document. Elles supposent le modèle de livraison énoncé ci-dessus (accélérateurs, services managés, périmètre figé) et sont à affiner en Semaine 1.</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6026"/>
        <w:gridCol w:w="3000"/>
      </w:tblGrid>
      <w:tr>
        <w:trPr>
          <w:tblHeader/>
        </w:trPr>
        <w:tc>
          <w:tcPr>
            <w:tcW w:type="dxa" w:w="60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Workstream / lot de travaux</w:t>
            </w:r>
          </w:p>
        </w:tc>
        <w:tc>
          <w:tcPr>
            <w:tcW w:type="dxa" w:w="30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Effort estimé (j·h)</w:t>
            </w:r>
          </w:p>
        </w:tc>
      </w:tr>
      <w:tr>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Cadrage, UX/UI, design system</w:t>
            </w:r>
          </w:p>
        </w:tc>
        <w:tc>
          <w:tcPr>
            <w:tcW w:type="dxa" w:w="3000"/>
            <w:shd w:fill="FFFFFF"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12 – 18</w:t>
            </w:r>
          </w:p>
        </w:tc>
      </w:tr>
      <w:tr>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Socle AWS + CI/CD (IaC)</w:t>
            </w:r>
          </w:p>
        </w:tc>
        <w:tc>
          <w:tcPr>
            <w:tcW w:type="dxa" w:w="3000"/>
            <w:shd w:fill="F2F6F6"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12 – 18</w:t>
            </w:r>
          </w:p>
        </w:tc>
      </w:tr>
      <w:tr>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Catalogue + moteur de disponibilité</w:t>
            </w:r>
          </w:p>
        </w:tc>
        <w:tc>
          <w:tcPr>
            <w:tcW w:type="dxa" w:w="3000"/>
            <w:shd w:fill="FFFFFF"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20 – 28</w:t>
            </w:r>
          </w:p>
        </w:tc>
      </w:tr>
      <w:tr>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Parcours client (réservation/compte)</w:t>
            </w:r>
          </w:p>
        </w:tc>
        <w:tc>
          <w:tcPr>
            <w:tcW w:type="dxa" w:w="3000"/>
            <w:shd w:fill="F2F6F6"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20 – 28</w:t>
            </w:r>
          </w:p>
        </w:tc>
      </w:tr>
      <w:tr>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Back-office &amp; gestion du staff</w:t>
            </w:r>
          </w:p>
        </w:tc>
        <w:tc>
          <w:tcPr>
            <w:tcW w:type="dxa" w:w="3000"/>
            <w:shd w:fill="FFFFFF"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22 – 30</w:t>
            </w:r>
          </w:p>
        </w:tc>
      </w:tr>
      <w:tr>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Paiements &amp; POS</w:t>
            </w:r>
          </w:p>
        </w:tc>
        <w:tc>
          <w:tcPr>
            <w:tcW w:type="dxa" w:w="3000"/>
            <w:shd w:fill="F2F6F6"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16 – 22</w:t>
            </w:r>
          </w:p>
        </w:tc>
      </w:tr>
      <w:tr>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Notifications (e-mail/SMS)</w:t>
            </w:r>
          </w:p>
        </w:tc>
        <w:tc>
          <w:tcPr>
            <w:tcW w:type="dxa" w:w="3000"/>
            <w:shd w:fill="FFFFFF"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8 – 12</w:t>
            </w:r>
          </w:p>
        </w:tc>
      </w:tr>
      <w:tr>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Reporting de base</w:t>
            </w:r>
          </w:p>
        </w:tc>
        <w:tc>
          <w:tcPr>
            <w:tcW w:type="dxa" w:w="3000"/>
            <w:shd w:fill="F2F6F6"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6 – 10</w:t>
            </w:r>
          </w:p>
        </w:tc>
      </w:tr>
      <w:tr>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Recette, durcissement, lancement</w:t>
            </w:r>
          </w:p>
        </w:tc>
        <w:tc>
          <w:tcPr>
            <w:tcW w:type="dxa" w:w="3000"/>
            <w:shd w:fill="FFFFFF"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12 – 18</w:t>
            </w:r>
          </w:p>
        </w:tc>
      </w:tr>
      <w:tr>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B2733"/>
                <w:sz w:val="19"/>
                <w:szCs w:val="19"/>
              </w:rPr>
              <w:t xml:space="preserve">Total indicatif MVP</w:t>
            </w:r>
          </w:p>
        </w:tc>
        <w:tc>
          <w:tcPr>
            <w:tcW w:type="dxa" w:w="3000"/>
            <w:shd w:fill="F2F6F6" w:color="auto" w:val="clear"/>
            <w:tcMar>
              <w:top w:type="dxa" w:w="60"/>
              <w:left w:type="dxa" w:w="90"/>
              <w:bottom w:type="dxa" w:w="60"/>
              <w:right w:type="dxa" w:w="90"/>
            </w:tcMar>
            <w:vAlign w:val="center"/>
          </w:tcPr>
          <w:p>
            <w:pPr>
              <w:spacing w:after="0" w:line="252"/>
              <w:jc w:val="center"/>
            </w:pPr>
            <w:r>
              <w:rPr>
                <w:rFonts w:ascii="Calibri" w:cs="Calibri" w:eastAsia="Calibri" w:hAnsi="Calibri"/>
                <w:b/>
                <w:bCs/>
                <w:i w:val="false"/>
                <w:iCs w:val="false"/>
                <w:color w:val="134744"/>
                <w:sz w:val="19"/>
                <w:szCs w:val="19"/>
              </w:rPr>
              <w:t xml:space="preserve">≈ 128 – 184 j·h</w:t>
            </w:r>
          </w:p>
        </w:tc>
      </w:tr>
    </w:tbl>
    <w:p>
      <w:pPr>
        <w:spacing w:after="60"/>
      </w:pPr>
      <w:r>
        <w:rPr>
          <w:rFonts w:ascii="Calibri" w:cs="Calibri" w:eastAsia="Calibri" w:hAnsi="Calibri"/>
          <w:b w:val="false"/>
          <w:bCs w:val="false"/>
          <w:i w:val="false"/>
          <w:iCs w:val="false"/>
          <w:color w:val="1B2733"/>
          <w:sz w:val="21"/>
          <w:szCs w:val="21"/>
        </w:rPr>
        <w:t xml:space="preserve"/>
      </w:r>
    </w:p>
    <w:tbl>
      <w:tblPr>
        <w:tblW w:type="dxa" w:w="9026"/>
        <w:tblBorders>
          <w:top w:val="single" w:color="FBF3E4" w:sz="2"/>
          <w:left w:val="single" w:color="C9A24B" w:sz="24"/>
          <w:bottom w:val="single" w:color="FBF3E4" w:sz="2"/>
          <w:right w:val="single" w:color="FBF3E4" w:sz="2"/>
          <w:insideH w:val="none"/>
          <w:insideV w:val="none"/>
        </w:tblBorders>
      </w:tblPr>
      <w:tblGrid>
        <w:gridCol w:w="9026"/>
      </w:tblGrid>
      <w:tr>
        <w:tc>
          <w:tcPr>
            <w:tcW w:type="dxa" w:w="9026"/>
            <w:shd w:fill="FBF3E4" w:color="auto" w:val="clear"/>
            <w:tcMar>
              <w:top w:type="dxa" w:w="120"/>
              <w:left w:type="dxa" w:w="200"/>
              <w:bottom w:type="dxa" w:w="120"/>
              <w:right w:type="dxa" w:w="160"/>
            </w:tcMar>
          </w:tcPr>
          <w:p>
            <w:pPr>
              <w:spacing w:after="60"/>
            </w:pPr>
            <w:r>
              <w:rPr>
                <w:rFonts w:ascii="Calibri" w:cs="Calibri" w:eastAsia="Calibri" w:hAnsi="Calibri"/>
                <w:b/>
                <w:bCs/>
                <w:i w:val="false"/>
                <w:iCs w:val="false"/>
                <w:color w:val="134744"/>
                <w:sz w:val="21"/>
                <w:szCs w:val="21"/>
              </w:rPr>
              <w:t xml:space="preserve">Hypothèses derrière le calendrier d'1 mois</w:t>
            </w:r>
          </w:p>
          <w:p>
            <w:pPr>
              <w:spacing w:after="0" w:line="264"/>
            </w:pPr>
            <w:r>
              <w:rPr>
                <w:rFonts w:ascii="Calibri" w:cs="Calibri" w:eastAsia="Calibri" w:hAnsi="Calibri"/>
                <w:b w:val="false"/>
                <w:bCs w:val="false"/>
                <w:i w:val="false"/>
                <w:iCs w:val="false"/>
                <w:color w:val="1B2733"/>
                <w:sz w:val="20"/>
                <w:szCs w:val="20"/>
              </w:rPr>
              <w:t xml:space="preserve">Une capacité de livraison pluridisciplinaire expérimentée travaillant pleinement en parallèle · services AWS managés et gabarits de démarrage éprouvés · paiement et messagerie délégués à des prestataires tiers (sans développement interne) · périmètre MVP strictement figé · finitions non critiques réduites. Si l'une de ces hypothèses n'est pas réunie, le calendrier s'allonge en conséquence.</w:t>
            </w:r>
          </w:p>
        </w:tc>
      </w:tr>
    </w:tbl>
    <w:p>
      <w:r>
        <w:br w:type="page"/>
      </w:r>
    </w:p>
    <w:p>
      <w:pPr>
        <w:pStyle w:val="Heading1"/>
        <w:spacing w:after="140" w:before="320"/>
      </w:pPr>
      <w:r>
        <w:rPr>
          <w:rFonts w:ascii="Calibri" w:cs="Calibri" w:eastAsia="Calibri" w:hAnsi="Calibri"/>
          <w:b/>
          <w:bCs/>
          <w:color w:val="134744"/>
          <w:sz w:val="30"/>
          <w:szCs w:val="30"/>
        </w:rPr>
        <w:t xml:space="preserve">4. Requirements d'infrastructure AWS</w:t>
      </w:r>
    </w:p>
    <w:p>
      <w:pPr>
        <w:pStyle w:val="Heading2"/>
        <w:spacing w:after="100" w:before="240"/>
      </w:pPr>
      <w:r>
        <w:rPr>
          <w:rFonts w:ascii="Calibri" w:cs="Calibri" w:eastAsia="Calibri" w:hAnsi="Calibri"/>
          <w:b/>
          <w:bCs/>
          <w:color w:val="1F6F6B"/>
          <w:sz w:val="25"/>
          <w:szCs w:val="25"/>
        </w:rPr>
        <w:t xml:space="preserve">4.1 Principes directeurs de l'infrastructure</w:t>
      </w:r>
    </w:p>
    <w:p>
      <w:pPr>
        <w:spacing w:after="120" w:before="0" w:line="276"/>
      </w:pPr>
      <w:r>
        <w:rPr>
          <w:rFonts w:ascii="Calibri" w:cs="Calibri" w:eastAsia="Calibri" w:hAnsi="Calibri"/>
          <w:b w:val="false"/>
          <w:bCs w:val="false"/>
          <w:i w:val="false"/>
          <w:iCs w:val="false"/>
          <w:color w:val="1B2733"/>
          <w:sz w:val="21"/>
          <w:szCs w:val="21"/>
        </w:rPr>
        <w:t xml:space="preserve">La conception de l'infrastructure suit le AWS Well-Architected Framework et ses six piliers : excellence opérationnelle, sécurité, fiabilité, efficacité des performances, optimisation des coûts et durabilité. Les grands choix structurants sont :</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Serverless de conteneurs. </w:t>
      </w:r>
      <w:r>
        <w:rPr>
          <w:rFonts w:ascii="Calibri" w:cs="Calibri" w:eastAsia="Calibri" w:hAnsi="Calibri"/>
          <w:b w:val="false"/>
          <w:bCs w:val="false"/>
          <w:i w:val="false"/>
          <w:iCs w:val="false"/>
          <w:color w:val="1B2733"/>
          <w:sz w:val="21"/>
          <w:szCs w:val="21"/>
        </w:rPr>
        <w:t xml:space="preserve">L'application s'exécute sur Amazon ECS en mode Fargate : aucun serveur à administrer, mise à l'échelle automatique.</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Haute disponibilité multi-AZ. </w:t>
      </w:r>
      <w:r>
        <w:rPr>
          <w:rFonts w:ascii="Calibri" w:cs="Calibri" w:eastAsia="Calibri" w:hAnsi="Calibri"/>
          <w:b w:val="false"/>
          <w:bCs w:val="false"/>
          <w:i w:val="false"/>
          <w:iCs w:val="false"/>
          <w:color w:val="1B2733"/>
          <w:sz w:val="21"/>
          <w:szCs w:val="21"/>
        </w:rPr>
        <w:t xml:space="preserve">Répartition sur au moins deux zones de disponibilité pour la production (calcul et base de données).</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Tout en Infrastructure-as-Code. </w:t>
      </w:r>
      <w:r>
        <w:rPr>
          <w:rFonts w:ascii="Calibri" w:cs="Calibri" w:eastAsia="Calibri" w:hAnsi="Calibri"/>
          <w:b w:val="false"/>
          <w:bCs w:val="false"/>
          <w:i w:val="false"/>
          <w:iCs w:val="false"/>
          <w:color w:val="1B2733"/>
          <w:sz w:val="21"/>
          <w:szCs w:val="21"/>
        </w:rPr>
        <w:t xml:space="preserve">L'ensemble est décrit en Terraform/CDK, versionné et déployé de façon reproductible sur chaque environnement.</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Moindre privilège. </w:t>
      </w:r>
      <w:r>
        <w:rPr>
          <w:rFonts w:ascii="Calibri" w:cs="Calibri" w:eastAsia="Calibri" w:hAnsi="Calibri"/>
          <w:b w:val="false"/>
          <w:bCs w:val="false"/>
          <w:i w:val="false"/>
          <w:iCs w:val="false"/>
          <w:color w:val="1B2733"/>
          <w:sz w:val="21"/>
          <w:szCs w:val="21"/>
        </w:rPr>
        <w:t xml:space="preserve">Rôles IAM granulaires, secrets isolés, réseau segmenté en sous-réseaux publics/privés.</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Région principale. </w:t>
      </w:r>
      <w:r>
        <w:rPr>
          <w:rFonts w:ascii="Calibri" w:cs="Calibri" w:eastAsia="Calibri" w:hAnsi="Calibri"/>
          <w:b w:val="false"/>
          <w:bCs w:val="false"/>
          <w:i w:val="false"/>
          <w:iCs w:val="false"/>
          <w:color w:val="1B2733"/>
          <w:sz w:val="21"/>
          <w:szCs w:val="21"/>
        </w:rPr>
        <w:t xml:space="preserve">Sélection d'une région AWS adaptée à la localisation des utilisateurs et aux exigences de résidence des données (ex. eu-west-1/eu-west-3 pour l'Europe/Afrique) ; CDN mondial via CloudFront.</w:t>
      </w:r>
    </w:p>
    <w:p>
      <w:pPr>
        <w:pStyle w:val="Heading2"/>
        <w:spacing w:after="100" w:before="240"/>
      </w:pPr>
      <w:r>
        <w:rPr>
          <w:rFonts w:ascii="Calibri" w:cs="Calibri" w:eastAsia="Calibri" w:hAnsi="Calibri"/>
          <w:b/>
          <w:bCs/>
          <w:color w:val="1F6F6B"/>
          <w:sz w:val="25"/>
          <w:szCs w:val="25"/>
        </w:rPr>
        <w:t xml:space="preserve">4.2 Vue d'ensemble de l'architecture cible</w:t>
      </w:r>
    </w:p>
    <w:p>
      <w:pPr>
        <w:spacing w:after="120" w:before="0" w:line="276"/>
      </w:pPr>
      <w:r>
        <w:rPr>
          <w:rFonts w:ascii="Calibri" w:cs="Calibri" w:eastAsia="Calibri" w:hAnsi="Calibri"/>
          <w:b w:val="false"/>
          <w:bCs w:val="false"/>
          <w:i w:val="false"/>
          <w:iCs w:val="false"/>
          <w:color w:val="1B2733"/>
          <w:sz w:val="21"/>
          <w:szCs w:val="21"/>
        </w:rPr>
        <w:t xml:space="preserve">Le flux logique ci-dessous va de l'utilisateur jusqu'aux services de données. Le trafic entrant est protégé par le CDN et le pare-feu applicatif, réparti par un load balancer vers les conteneurs applicatifs, lesquels s'appuient sur une base relationnelle managée, un cache, un stockage objet et des services de notification.</w:t>
      </w:r>
    </w:p>
    <w:tbl>
      <w:tblPr>
        <w:tblW w:type="dxa" w:w="9026"/>
        <w:tblBorders>
          <w:top w:val="single" w:color="EAF2F1" w:sz="2"/>
          <w:left w:val="single" w:color="1F6F6B" w:sz="24"/>
          <w:bottom w:val="single" w:color="EAF2F1" w:sz="2"/>
          <w:right w:val="single" w:color="EAF2F1" w:sz="2"/>
          <w:insideH w:val="none"/>
          <w:insideV w:val="none"/>
        </w:tblBorders>
      </w:tblPr>
      <w:tblGrid>
        <w:gridCol w:w="9026"/>
      </w:tblGrid>
      <w:tr>
        <w:tc>
          <w:tcPr>
            <w:tcW w:type="dxa" w:w="9026"/>
            <w:shd w:fill="EAF2F1" w:color="auto" w:val="clear"/>
            <w:tcMar>
              <w:top w:type="dxa" w:w="120"/>
              <w:left w:type="dxa" w:w="200"/>
              <w:bottom w:type="dxa" w:w="120"/>
              <w:right w:type="dxa" w:w="160"/>
            </w:tcMar>
          </w:tcPr>
          <w:p>
            <w:pPr>
              <w:spacing w:after="60"/>
            </w:pPr>
            <w:r>
              <w:rPr>
                <w:rFonts w:ascii="Calibri" w:cs="Calibri" w:eastAsia="Calibri" w:hAnsi="Calibri"/>
                <w:b/>
                <w:bCs/>
                <w:i w:val="false"/>
                <w:iCs w:val="false"/>
                <w:color w:val="134744"/>
                <w:sz w:val="21"/>
                <w:szCs w:val="21"/>
              </w:rPr>
              <w:t xml:space="preserve">Chaîne de traitement (haut niveau)</w:t>
            </w:r>
          </w:p>
          <w:p>
            <w:pPr>
              <w:spacing w:after="60" w:line="264"/>
            </w:pPr>
            <w:r>
              <w:rPr>
                <w:rFonts w:ascii="Calibri" w:cs="Calibri" w:eastAsia="Calibri" w:hAnsi="Calibri"/>
                <w:b/>
                <w:bCs/>
                <w:i w:val="false"/>
                <w:iCs w:val="false"/>
                <w:color w:val="134744"/>
                <w:sz w:val="21"/>
                <w:szCs w:val="21"/>
              </w:rPr>
              <w:t xml:space="preserve">Client / Admin  →  </w:t>
            </w:r>
            <w:r>
              <w:rPr>
                <w:rFonts w:ascii="Calibri" w:cs="Calibri" w:eastAsia="Calibri" w:hAnsi="Calibri"/>
                <w:b w:val="false"/>
                <w:bCs w:val="false"/>
                <w:i w:val="false"/>
                <w:iCs w:val="false"/>
                <w:color w:val="1B2733"/>
                <w:sz w:val="21"/>
                <w:szCs w:val="21"/>
              </w:rPr>
              <w:t xml:space="preserve">Amazon CloudFront (CDN) + AWS WAF</w:t>
            </w:r>
          </w:p>
          <w:p>
            <w:pPr>
              <w:spacing w:after="60" w:line="264"/>
            </w:pPr>
            <w:r>
              <w:rPr>
                <w:rFonts w:ascii="Calibri" w:cs="Calibri" w:eastAsia="Calibri" w:hAnsi="Calibri"/>
                <w:b/>
                <w:bCs/>
                <w:i w:val="false"/>
                <w:iCs w:val="false"/>
                <w:color w:val="134744"/>
                <w:sz w:val="21"/>
                <w:szCs w:val="21"/>
              </w:rPr>
              <w:t xml:space="preserve">→  </w:t>
            </w:r>
            <w:r>
              <w:rPr>
                <w:rFonts w:ascii="Calibri" w:cs="Calibri" w:eastAsia="Calibri" w:hAnsi="Calibri"/>
                <w:b w:val="false"/>
                <w:bCs w:val="false"/>
                <w:i w:val="false"/>
                <w:iCs w:val="false"/>
                <w:color w:val="1B2733"/>
                <w:sz w:val="21"/>
                <w:szCs w:val="21"/>
              </w:rPr>
              <w:t xml:space="preserve">Application Load Balancer (HTTPS/ACM)</w:t>
            </w:r>
          </w:p>
          <w:p>
            <w:pPr>
              <w:spacing w:after="60" w:line="264"/>
            </w:pPr>
            <w:r>
              <w:rPr>
                <w:rFonts w:ascii="Calibri" w:cs="Calibri" w:eastAsia="Calibri" w:hAnsi="Calibri"/>
                <w:b/>
                <w:bCs/>
                <w:i w:val="false"/>
                <w:iCs w:val="false"/>
                <w:color w:val="134744"/>
                <w:sz w:val="21"/>
                <w:szCs w:val="21"/>
              </w:rPr>
              <w:t xml:space="preserve">→  </w:t>
            </w:r>
            <w:r>
              <w:rPr>
                <w:rFonts w:ascii="Calibri" w:cs="Calibri" w:eastAsia="Calibri" w:hAnsi="Calibri"/>
                <w:b w:val="false"/>
                <w:bCs w:val="false"/>
                <w:i w:val="false"/>
                <w:iCs w:val="false"/>
                <w:color w:val="1B2733"/>
                <w:sz w:val="21"/>
                <w:szCs w:val="21"/>
              </w:rPr>
              <w:t xml:space="preserve">Amazon ECS Fargate (conteneurs API + web, multi-AZ)</w:t>
            </w:r>
          </w:p>
          <w:p>
            <w:pPr>
              <w:spacing w:after="60" w:line="264"/>
            </w:pPr>
            <w:r>
              <w:rPr>
                <w:rFonts w:ascii="Calibri" w:cs="Calibri" w:eastAsia="Calibri" w:hAnsi="Calibri"/>
                <w:b/>
                <w:bCs/>
                <w:i w:val="false"/>
                <w:iCs w:val="false"/>
                <w:color w:val="134744"/>
                <w:sz w:val="21"/>
                <w:szCs w:val="21"/>
              </w:rPr>
              <w:t xml:space="preserve">→  </w:t>
            </w:r>
            <w:r>
              <w:rPr>
                <w:rFonts w:ascii="Calibri" w:cs="Calibri" w:eastAsia="Calibri" w:hAnsi="Calibri"/>
                <w:b w:val="false"/>
                <w:bCs w:val="false"/>
                <w:i w:val="false"/>
                <w:iCs w:val="false"/>
                <w:color w:val="1B2733"/>
                <w:sz w:val="21"/>
                <w:szCs w:val="21"/>
              </w:rPr>
              <w:t xml:space="preserve">Amazon RDS PostgreSQL (Multi-AZ)  ·  Amazon ElastiCache Redis</w:t>
            </w:r>
          </w:p>
          <w:p>
            <w:pPr>
              <w:spacing w:after="60" w:line="264"/>
            </w:pPr>
            <w:r>
              <w:rPr>
                <w:rFonts w:ascii="Calibri" w:cs="Calibri" w:eastAsia="Calibri" w:hAnsi="Calibri"/>
                <w:b/>
                <w:bCs/>
                <w:i w:val="false"/>
                <w:iCs w:val="false"/>
                <w:color w:val="134744"/>
                <w:sz w:val="21"/>
                <w:szCs w:val="21"/>
              </w:rPr>
              <w:t xml:space="preserve">→  </w:t>
            </w:r>
            <w:r>
              <w:rPr>
                <w:rFonts w:ascii="Calibri" w:cs="Calibri" w:eastAsia="Calibri" w:hAnsi="Calibri"/>
                <w:b w:val="false"/>
                <w:bCs w:val="false"/>
                <w:i w:val="false"/>
                <w:iCs w:val="false"/>
                <w:color w:val="1B2733"/>
                <w:sz w:val="21"/>
                <w:szCs w:val="21"/>
              </w:rPr>
              <w:t xml:space="preserve">Amazon S3 (médias)  ·  Amazon SES/SNS (notifications)  ·  EventBridge + Lambda (rappels planifiés)</w:t>
            </w:r>
          </w:p>
          <w:p>
            <w:pPr>
              <w:spacing w:after="0" w:line="264"/>
            </w:pPr>
            <w:r>
              <w:rPr>
                <w:rFonts w:ascii="Calibri" w:cs="Calibri" w:eastAsia="Calibri" w:hAnsi="Calibri"/>
                <w:b/>
                <w:bCs/>
                <w:i w:val="false"/>
                <w:iCs w:val="false"/>
                <w:color w:val="134744"/>
                <w:sz w:val="21"/>
                <w:szCs w:val="21"/>
              </w:rPr>
              <w:t xml:space="preserve">Transverse : </w:t>
            </w:r>
            <w:r>
              <w:rPr>
                <w:rFonts w:ascii="Calibri" w:cs="Calibri" w:eastAsia="Calibri" w:hAnsi="Calibri"/>
                <w:b w:val="false"/>
                <w:bCs w:val="false"/>
                <w:i w:val="false"/>
                <w:iCs w:val="false"/>
                <w:color w:val="1B2733"/>
                <w:sz w:val="21"/>
                <w:szCs w:val="21"/>
              </w:rPr>
              <w:t xml:space="preserve">Cognito (identités) · Secrets Manager · CloudWatch/X-Ray · CodePipeline (CI/CD)</w:t>
            </w:r>
          </w:p>
        </w:tc>
      </w:tr>
    </w:tbl>
    <w:p>
      <w:pPr>
        <w:pStyle w:val="Heading2"/>
        <w:spacing w:after="100" w:before="240"/>
      </w:pPr>
      <w:r>
        <w:rPr>
          <w:rFonts w:ascii="Calibri" w:cs="Calibri" w:eastAsia="Calibri" w:hAnsi="Calibri"/>
          <w:b/>
          <w:bCs/>
          <w:color w:val="1F6F6B"/>
          <w:sz w:val="25"/>
          <w:szCs w:val="25"/>
        </w:rPr>
        <w:t xml:space="preserve">4.3 Réseau — Amazon VPC</w:t>
      </w:r>
    </w:p>
    <w:p>
      <w:pPr>
        <w:spacing w:after="120" w:before="0" w:line="276"/>
      </w:pPr>
      <w:r>
        <w:rPr>
          <w:rFonts w:ascii="Calibri" w:cs="Calibri" w:eastAsia="Calibri" w:hAnsi="Calibri"/>
          <w:b w:val="false"/>
          <w:bCs w:val="false"/>
          <w:i w:val="false"/>
          <w:iCs w:val="false"/>
          <w:color w:val="1B2733"/>
          <w:sz w:val="21"/>
          <w:szCs w:val="21"/>
        </w:rPr>
        <w:t xml:space="preserve">Un VPC dédié par environnement isole les ressources. La segmentation en sous-réseaux publics et privés répartis sur deux zones de disponibilité constitue le socle de sécurité et de disponibilité.</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2400"/>
        <w:gridCol w:w="3826"/>
        <w:gridCol w:w="2800"/>
      </w:tblGrid>
      <w:tr>
        <w:trPr>
          <w:tblHeader/>
        </w:trPr>
        <w:tc>
          <w:tcPr>
            <w:tcW w:type="dxa" w:w="24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Composant</w:t>
            </w:r>
          </w:p>
        </w:tc>
        <w:tc>
          <w:tcPr>
            <w:tcW w:type="dxa" w:w="38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Configuration</w:t>
            </w:r>
          </w:p>
        </w:tc>
        <w:tc>
          <w:tcPr>
            <w:tcW w:type="dxa" w:w="28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Rôle</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VPC</w:t>
            </w:r>
          </w:p>
        </w:tc>
        <w:tc>
          <w:tcPr>
            <w:tcW w:type="dxa" w:w="38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Un par environnement (dev, staging, prod), plage /16</w:t>
            </w:r>
          </w:p>
        </w:tc>
        <w:tc>
          <w:tcPr>
            <w:tcW w:type="dxa" w:w="28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Isolation réseau.</w:t>
            </w:r>
          </w:p>
        </w:tc>
      </w:tr>
      <w:tr>
        <w:tc>
          <w:tcPr>
            <w:tcW w:type="dxa" w:w="2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Sous-réseaux publics</w:t>
            </w:r>
          </w:p>
        </w:tc>
        <w:tc>
          <w:tcPr>
            <w:tcW w:type="dxa" w:w="38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2 (une par AZ)</w:t>
            </w:r>
          </w:p>
        </w:tc>
        <w:tc>
          <w:tcPr>
            <w:tcW w:type="dxa" w:w="28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ALB, NAT Gateway.</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Sous-réseaux privés (app)</w:t>
            </w:r>
          </w:p>
        </w:tc>
        <w:tc>
          <w:tcPr>
            <w:tcW w:type="dxa" w:w="38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2 (une par AZ)</w:t>
            </w:r>
          </w:p>
        </w:tc>
        <w:tc>
          <w:tcPr>
            <w:tcW w:type="dxa" w:w="28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Tâches ECS Fargate, Lambda.</w:t>
            </w:r>
          </w:p>
        </w:tc>
      </w:tr>
      <w:tr>
        <w:tc>
          <w:tcPr>
            <w:tcW w:type="dxa" w:w="2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Sous-réseaux privés (données)</w:t>
            </w:r>
          </w:p>
        </w:tc>
        <w:tc>
          <w:tcPr>
            <w:tcW w:type="dxa" w:w="38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2 (une par AZ)</w:t>
            </w:r>
          </w:p>
        </w:tc>
        <w:tc>
          <w:tcPr>
            <w:tcW w:type="dxa" w:w="28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RDS, ElastiCache (non exposés à Internet).</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Internet Gateway</w:t>
            </w:r>
          </w:p>
        </w:tc>
        <w:tc>
          <w:tcPr>
            <w:tcW w:type="dxa" w:w="38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1</w:t>
            </w:r>
          </w:p>
        </w:tc>
        <w:tc>
          <w:tcPr>
            <w:tcW w:type="dxa" w:w="28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Sortie Internet pour les sous-réseaux publics.</w:t>
            </w:r>
          </w:p>
        </w:tc>
      </w:tr>
      <w:tr>
        <w:tc>
          <w:tcPr>
            <w:tcW w:type="dxa" w:w="2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NAT Gateway</w:t>
            </w:r>
          </w:p>
        </w:tc>
        <w:tc>
          <w:tcPr>
            <w:tcW w:type="dxa" w:w="38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1 à 2 (2 en prod pour la résilience)</w:t>
            </w:r>
          </w:p>
        </w:tc>
        <w:tc>
          <w:tcPr>
            <w:tcW w:type="dxa" w:w="28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Sortie Internet contrôlée des sous-réseaux privés.</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Security Groups</w:t>
            </w:r>
          </w:p>
        </w:tc>
        <w:tc>
          <w:tcPr>
            <w:tcW w:type="dxa" w:w="38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Par composant, moindre privilège</w:t>
            </w:r>
          </w:p>
        </w:tc>
        <w:tc>
          <w:tcPr>
            <w:tcW w:type="dxa" w:w="28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Filtrage du trafic (ALB→ECS→RDS).</w:t>
            </w:r>
          </w:p>
        </w:tc>
      </w:tr>
      <w:tr>
        <w:tc>
          <w:tcPr>
            <w:tcW w:type="dxa" w:w="2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VPC Endpoints</w:t>
            </w:r>
          </w:p>
        </w:tc>
        <w:tc>
          <w:tcPr>
            <w:tcW w:type="dxa" w:w="38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S3, ECR, Secrets Manager, CloudWatch (privés)</w:t>
            </w:r>
          </w:p>
        </w:tc>
        <w:tc>
          <w:tcPr>
            <w:tcW w:type="dxa" w:w="28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Accès aux services AWS sans passer par Internet.</w:t>
            </w:r>
          </w:p>
        </w:tc>
      </w:tr>
    </w:tbl>
    <w:p>
      <w:pPr>
        <w:pStyle w:val="Heading2"/>
        <w:spacing w:after="100" w:before="240"/>
      </w:pPr>
      <w:r>
        <w:rPr>
          <w:rFonts w:ascii="Calibri" w:cs="Calibri" w:eastAsia="Calibri" w:hAnsi="Calibri"/>
          <w:b/>
          <w:bCs/>
          <w:color w:val="1F6F6B"/>
          <w:sz w:val="25"/>
          <w:szCs w:val="25"/>
        </w:rPr>
        <w:t xml:space="preserve">4.4 Compute — conteneurs applicatifs</w:t>
      </w:r>
    </w:p>
    <w:p>
      <w:pPr>
        <w:spacing w:after="120" w:before="0" w:line="276"/>
      </w:pPr>
      <w:r>
        <w:rPr>
          <w:rFonts w:ascii="Calibri" w:cs="Calibri" w:eastAsia="Calibri" w:hAnsi="Calibri"/>
          <w:b w:val="false"/>
          <w:bCs w:val="false"/>
          <w:i w:val="false"/>
          <w:iCs w:val="false"/>
          <w:color w:val="1B2733"/>
          <w:sz w:val="21"/>
          <w:szCs w:val="21"/>
        </w:rPr>
        <w:t xml:space="preserve">L'application (API et rendu web) s'exécute dans des conteneurs Docker orchestrés par Amazon ECS en mode Fargate, avec mise à l'échelle automatique selon la charge CPU/mémoire et derrière un Application Load Balancer.</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2400"/>
        <w:gridCol w:w="3226"/>
        <w:gridCol w:w="3400"/>
      </w:tblGrid>
      <w:tr>
        <w:trPr>
          <w:tblHeader/>
        </w:trPr>
        <w:tc>
          <w:tcPr>
            <w:tcW w:type="dxa" w:w="24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Service AWS</w:t>
            </w:r>
          </w:p>
        </w:tc>
        <w:tc>
          <w:tcPr>
            <w:tcW w:type="dxa" w:w="32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Rôle</w:t>
            </w:r>
          </w:p>
        </w:tc>
        <w:tc>
          <w:tcPr>
            <w:tcW w:type="dxa" w:w="34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Configuration de départ (prod)</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ECS (Fargate)</w:t>
            </w:r>
          </w:p>
        </w:tc>
        <w:tc>
          <w:tcPr>
            <w:tcW w:type="dxa" w:w="32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Exécution des conteneurs applicatifs</w:t>
            </w:r>
          </w:p>
        </w:tc>
        <w:tc>
          <w:tcPr>
            <w:tcW w:type="dxa" w:w="3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2–3 tâches, 0,5–1 vCPU / 1–2 Go par tâche, auto-scaling 2→8.</w:t>
            </w:r>
          </w:p>
        </w:tc>
      </w:tr>
      <w:tr>
        <w:tc>
          <w:tcPr>
            <w:tcW w:type="dxa" w:w="2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Application Load Balancer</w:t>
            </w:r>
          </w:p>
        </w:tc>
        <w:tc>
          <w:tcPr>
            <w:tcW w:type="dxa" w:w="32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Répartition HTTPS, health checks</w:t>
            </w:r>
          </w:p>
        </w:tc>
        <w:tc>
          <w:tcPr>
            <w:tcW w:type="dxa" w:w="3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1 ALB, terminaison TLS via ACM.</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ECR</w:t>
            </w:r>
          </w:p>
        </w:tc>
        <w:tc>
          <w:tcPr>
            <w:tcW w:type="dxa" w:w="32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Registre d'images Docker privé</w:t>
            </w:r>
          </w:p>
        </w:tc>
        <w:tc>
          <w:tcPr>
            <w:tcW w:type="dxa" w:w="3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Un dépôt par service, scan de vulnérabilités activé.</w:t>
            </w:r>
          </w:p>
        </w:tc>
      </w:tr>
      <w:tr>
        <w:tc>
          <w:tcPr>
            <w:tcW w:type="dxa" w:w="2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AWS Lambda</w:t>
            </w:r>
          </w:p>
        </w:tc>
        <w:tc>
          <w:tcPr>
            <w:tcW w:type="dxa" w:w="32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Tâches asynchrones et planifiées (rappels)</w:t>
            </w:r>
          </w:p>
        </w:tc>
        <w:tc>
          <w:tcPr>
            <w:tcW w:type="dxa" w:w="3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Fonctions déclenchées par EventBridge/SQS.</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Auto Scaling</w:t>
            </w:r>
          </w:p>
        </w:tc>
        <w:tc>
          <w:tcPr>
            <w:tcW w:type="dxa" w:w="32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Adaptation à la charge</w:t>
            </w:r>
          </w:p>
        </w:tc>
        <w:tc>
          <w:tcPr>
            <w:tcW w:type="dxa" w:w="3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Cible d'utilisation CPU ~60 %, montée/descente automatique.</w:t>
            </w:r>
          </w:p>
        </w:tc>
      </w:tr>
    </w:tbl>
    <w:p>
      <w:pPr>
        <w:pStyle w:val="Heading2"/>
        <w:spacing w:after="100" w:before="240"/>
      </w:pPr>
      <w:r>
        <w:rPr>
          <w:rFonts w:ascii="Calibri" w:cs="Calibri" w:eastAsia="Calibri" w:hAnsi="Calibri"/>
          <w:b/>
          <w:bCs/>
          <w:color w:val="1F6F6B"/>
          <w:sz w:val="25"/>
          <w:szCs w:val="25"/>
        </w:rPr>
        <w:t xml:space="preserve">4.5 Bases de données et cache</w:t>
      </w:r>
    </w:p>
    <w:p>
      <w:pPr>
        <w:spacing w:after="120" w:before="0" w:line="276"/>
      </w:pPr>
      <w:r>
        <w:rPr>
          <w:rFonts w:ascii="Calibri" w:cs="Calibri" w:eastAsia="Calibri" w:hAnsi="Calibri"/>
          <w:b w:val="false"/>
          <w:bCs w:val="false"/>
          <w:i w:val="false"/>
          <w:iCs w:val="false"/>
          <w:color w:val="1B2733"/>
          <w:sz w:val="21"/>
          <w:szCs w:val="21"/>
        </w:rPr>
        <w:t xml:space="preserve">La persistance repose sur PostgreSQL managé (Amazon RDS) en configuration Multi-AZ pour la production, complété par un cache Redis (ElastiCache) pour les disponibilités et les verrous de réservation.</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2600"/>
        <w:gridCol w:w="2800"/>
        <w:gridCol w:w="3626"/>
      </w:tblGrid>
      <w:tr>
        <w:trPr>
          <w:tblHeader/>
        </w:trPr>
        <w:tc>
          <w:tcPr>
            <w:tcW w:type="dxa" w:w="26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Service</w:t>
            </w:r>
          </w:p>
        </w:tc>
        <w:tc>
          <w:tcPr>
            <w:tcW w:type="dxa" w:w="28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Rôle</w:t>
            </w:r>
          </w:p>
        </w:tc>
        <w:tc>
          <w:tcPr>
            <w:tcW w:type="dxa" w:w="36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Configuration (prod)</w:t>
            </w:r>
          </w:p>
        </w:tc>
      </w:tr>
      <w:tr>
        <w:tc>
          <w:tcPr>
            <w:tcW w:type="dxa" w:w="2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RDS PostgreSQL</w:t>
            </w:r>
          </w:p>
        </w:tc>
        <w:tc>
          <w:tcPr>
            <w:tcW w:type="dxa" w:w="28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Base de données transactionnelle principale</w:t>
            </w:r>
          </w:p>
        </w:tc>
        <w:tc>
          <w:tcPr>
            <w:tcW w:type="dxa" w:w="36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Instance db.t4g.medium/large, Multi-AZ, stockage gp3 chiffré, sauvegardes automatiques 7–30 j.</w:t>
            </w:r>
          </w:p>
        </w:tc>
      </w:tr>
      <w:tr>
        <w:tc>
          <w:tcPr>
            <w:tcW w:type="dxa" w:w="26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ElastiCache (Redis)</w:t>
            </w:r>
          </w:p>
        </w:tc>
        <w:tc>
          <w:tcPr>
            <w:tcW w:type="dxa" w:w="28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Cache disponibilités, sessions, verrous</w:t>
            </w:r>
          </w:p>
        </w:tc>
        <w:tc>
          <w:tcPr>
            <w:tcW w:type="dxa" w:w="36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cache.t4g.small, 1 réplica, chiffrement activé.</w:t>
            </w:r>
          </w:p>
        </w:tc>
      </w:tr>
      <w:tr>
        <w:tc>
          <w:tcPr>
            <w:tcW w:type="dxa" w:w="2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Réplicas de lecture (option)</w:t>
            </w:r>
          </w:p>
        </w:tc>
        <w:tc>
          <w:tcPr>
            <w:tcW w:type="dxa" w:w="28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Décharger les lectures reporting</w:t>
            </w:r>
          </w:p>
        </w:tc>
        <w:tc>
          <w:tcPr>
            <w:tcW w:type="dxa" w:w="36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1 read replica à activer selon la charge.</w:t>
            </w:r>
          </w:p>
        </w:tc>
      </w:tr>
      <w:tr>
        <w:tc>
          <w:tcPr>
            <w:tcW w:type="dxa" w:w="26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RDS Proxy (option)</w:t>
            </w:r>
          </w:p>
        </w:tc>
        <w:tc>
          <w:tcPr>
            <w:tcW w:type="dxa" w:w="28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Mutualisation des connexions</w:t>
            </w:r>
          </w:p>
        </w:tc>
        <w:tc>
          <w:tcPr>
            <w:tcW w:type="dxa" w:w="36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Recommandé si usage intensif de Lambda.</w:t>
            </w:r>
          </w:p>
        </w:tc>
      </w:tr>
    </w:tbl>
    <w:p>
      <w:pPr>
        <w:pStyle w:val="Heading2"/>
        <w:spacing w:after="100" w:before="240"/>
      </w:pPr>
      <w:r>
        <w:rPr>
          <w:rFonts w:ascii="Calibri" w:cs="Calibri" w:eastAsia="Calibri" w:hAnsi="Calibri"/>
          <w:b/>
          <w:bCs/>
          <w:color w:val="1F6F6B"/>
          <w:sz w:val="25"/>
          <w:szCs w:val="25"/>
        </w:rPr>
        <w:t xml:space="preserve">4.6 Stockage objet et diffusion de contenu</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2600"/>
        <w:gridCol w:w="3200"/>
        <w:gridCol w:w="3226"/>
      </w:tblGrid>
      <w:tr>
        <w:trPr>
          <w:tblHeader/>
        </w:trPr>
        <w:tc>
          <w:tcPr>
            <w:tcW w:type="dxa" w:w="26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Service</w:t>
            </w:r>
          </w:p>
        </w:tc>
        <w:tc>
          <w:tcPr>
            <w:tcW w:type="dxa" w:w="32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Rôle</w:t>
            </w:r>
          </w:p>
        </w:tc>
        <w:tc>
          <w:tcPr>
            <w:tcW w:type="dxa" w:w="32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Configuration</w:t>
            </w:r>
          </w:p>
        </w:tc>
      </w:tr>
      <w:tr>
        <w:tc>
          <w:tcPr>
            <w:tcW w:type="dxa" w:w="2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S3</w:t>
            </w:r>
          </w:p>
        </w:tc>
        <w:tc>
          <w:tcPr>
            <w:tcW w:type="dxa" w:w="32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Médias (photos de services, avatars), exports, sauvegardes applicatives</w:t>
            </w:r>
          </w:p>
        </w:tc>
        <w:tc>
          <w:tcPr>
            <w:tcW w:type="dxa" w:w="32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Buckets chiffrés (SSE-KMS), versioning, blocage d'accès public, politiques de cycle de vie.</w:t>
            </w:r>
          </w:p>
        </w:tc>
      </w:tr>
      <w:tr>
        <w:tc>
          <w:tcPr>
            <w:tcW w:type="dxa" w:w="26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CloudFront</w:t>
            </w:r>
          </w:p>
        </w:tc>
        <w:tc>
          <w:tcPr>
            <w:tcW w:type="dxa" w:w="32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CDN mondial pour le web et les médias</w:t>
            </w:r>
          </w:p>
        </w:tc>
        <w:tc>
          <w:tcPr>
            <w:tcW w:type="dxa" w:w="32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Distribution HTTPS, cache proche des utilisateurs, intégration WAF.</w:t>
            </w:r>
          </w:p>
        </w:tc>
      </w:tr>
      <w:tr>
        <w:tc>
          <w:tcPr>
            <w:tcW w:type="dxa" w:w="2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AWS Certificate Manager</w:t>
            </w:r>
          </w:p>
        </w:tc>
        <w:tc>
          <w:tcPr>
            <w:tcW w:type="dxa" w:w="32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Certificats TLS gratuits et gérés</w:t>
            </w:r>
          </w:p>
        </w:tc>
        <w:tc>
          <w:tcPr>
            <w:tcW w:type="dxa" w:w="32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Certificats pour ALB et CloudFront, renouvellement automatique.</w:t>
            </w:r>
          </w:p>
        </w:tc>
      </w:tr>
    </w:tbl>
    <w:p>
      <w:pPr>
        <w:pStyle w:val="Heading2"/>
        <w:spacing w:after="100" w:before="240"/>
      </w:pPr>
      <w:r>
        <w:rPr>
          <w:rFonts w:ascii="Calibri" w:cs="Calibri" w:eastAsia="Calibri" w:hAnsi="Calibri"/>
          <w:b/>
          <w:bCs/>
          <w:color w:val="1F6F6B"/>
          <w:sz w:val="25"/>
          <w:szCs w:val="25"/>
        </w:rPr>
        <w:t xml:space="preserve">4.7 Authentification et identités</w:t>
      </w:r>
    </w:p>
    <w:p>
      <w:pPr>
        <w:spacing w:after="120" w:before="0" w:line="276"/>
      </w:pPr>
      <w:r>
        <w:rPr>
          <w:rFonts w:ascii="Calibri" w:cs="Calibri" w:eastAsia="Calibri" w:hAnsi="Calibri"/>
          <w:b w:val="false"/>
          <w:bCs w:val="false"/>
          <w:i w:val="false"/>
          <w:iCs w:val="false"/>
          <w:color w:val="1B2733"/>
          <w:sz w:val="21"/>
          <w:szCs w:val="21"/>
        </w:rPr>
        <w:t xml:space="preserve">La gestion des comptes (clients, staff, administrateurs) et des rôles peut s'appuyer sur Amazon Cognito, ou sur une solution interne selon les besoins de personnalisation.</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2400"/>
        <w:gridCol w:w="2800"/>
        <w:gridCol w:w="3826"/>
      </w:tblGrid>
      <w:tr>
        <w:trPr>
          <w:tblHeader/>
        </w:trPr>
        <w:tc>
          <w:tcPr>
            <w:tcW w:type="dxa" w:w="24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Service</w:t>
            </w:r>
          </w:p>
        </w:tc>
        <w:tc>
          <w:tcPr>
            <w:tcW w:type="dxa" w:w="28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Rôle</w:t>
            </w:r>
          </w:p>
        </w:tc>
        <w:tc>
          <w:tcPr>
            <w:tcW w:type="dxa" w:w="38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Détails</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Cognito</w:t>
            </w:r>
          </w:p>
        </w:tc>
        <w:tc>
          <w:tcPr>
            <w:tcW w:type="dxa" w:w="28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Inscription/connexion, jetons JWT, fédération</w:t>
            </w:r>
          </w:p>
        </w:tc>
        <w:tc>
          <w:tcPr>
            <w:tcW w:type="dxa" w:w="38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User pools par tenant ou pool unique avec attributs de rôle ; MFA optionnel pour le staff.</w:t>
            </w:r>
          </w:p>
        </w:tc>
      </w:tr>
      <w:tr>
        <w:tc>
          <w:tcPr>
            <w:tcW w:type="dxa" w:w="2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AWS IAM</w:t>
            </w:r>
          </w:p>
        </w:tc>
        <w:tc>
          <w:tcPr>
            <w:tcW w:type="dxa" w:w="28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Droits d'accès aux ressources AWS</w:t>
            </w:r>
          </w:p>
        </w:tc>
        <w:tc>
          <w:tcPr>
            <w:tcW w:type="dxa" w:w="38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Rôles par service, moindre privilège, pas de clés statiques.</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AWS Secrets Manager</w:t>
            </w:r>
          </w:p>
        </w:tc>
        <w:tc>
          <w:tcPr>
            <w:tcW w:type="dxa" w:w="28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Secrets applicatifs (BD, clés API paiement)</w:t>
            </w:r>
          </w:p>
        </w:tc>
        <w:tc>
          <w:tcPr>
            <w:tcW w:type="dxa" w:w="38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Rotation automatique, accès via le rôle IAM des tâches ECS.</w:t>
            </w:r>
          </w:p>
        </w:tc>
      </w:tr>
    </w:tbl>
    <w:p>
      <w:pPr>
        <w:pStyle w:val="Heading2"/>
        <w:spacing w:after="100" w:before="240"/>
      </w:pPr>
      <w:r>
        <w:rPr>
          <w:rFonts w:ascii="Calibri" w:cs="Calibri" w:eastAsia="Calibri" w:hAnsi="Calibri"/>
          <w:b/>
          <w:bCs/>
          <w:color w:val="1F6F6B"/>
          <w:sz w:val="25"/>
          <w:szCs w:val="25"/>
        </w:rPr>
        <w:t xml:space="preserve">4.8 Notifications et tâches planifiées</w:t>
      </w:r>
    </w:p>
    <w:p>
      <w:pPr>
        <w:spacing w:after="120" w:before="0" w:line="276"/>
      </w:pPr>
      <w:r>
        <w:rPr>
          <w:rFonts w:ascii="Calibri" w:cs="Calibri" w:eastAsia="Calibri" w:hAnsi="Calibri"/>
          <w:b w:val="false"/>
          <w:bCs w:val="false"/>
          <w:i w:val="false"/>
          <w:iCs w:val="false"/>
          <w:color w:val="1B2733"/>
          <w:sz w:val="21"/>
          <w:szCs w:val="21"/>
        </w:rPr>
        <w:t xml:space="preserve">Les confirmations, rappels et avis d'annulation reposent sur des services managés. Les rappels « 24 h avant » sont déclenchés par une planification et exécutés de façon asynchrone.</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2600"/>
        <w:gridCol w:w="3000"/>
        <w:gridCol w:w="3426"/>
      </w:tblGrid>
      <w:tr>
        <w:trPr>
          <w:tblHeader/>
        </w:trPr>
        <w:tc>
          <w:tcPr>
            <w:tcW w:type="dxa" w:w="26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Service</w:t>
            </w:r>
          </w:p>
        </w:tc>
        <w:tc>
          <w:tcPr>
            <w:tcW w:type="dxa" w:w="30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Rôle</w:t>
            </w:r>
          </w:p>
        </w:tc>
        <w:tc>
          <w:tcPr>
            <w:tcW w:type="dxa" w:w="34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Détails</w:t>
            </w:r>
          </w:p>
        </w:tc>
      </w:tr>
      <w:tr>
        <w:tc>
          <w:tcPr>
            <w:tcW w:type="dxa" w:w="2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SES</w:t>
            </w:r>
          </w:p>
        </w:tc>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E-mails transactionnels (confirmation, rappel, annulation)</w:t>
            </w:r>
          </w:p>
        </w:tc>
        <w:tc>
          <w:tcPr>
            <w:tcW w:type="dxa" w:w="34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Modèles, domaine vérifié (DKIM/SPF/DMARC), suivi des bounces.</w:t>
            </w:r>
          </w:p>
        </w:tc>
      </w:tr>
      <w:tr>
        <w:tc>
          <w:tcPr>
            <w:tcW w:type="dxa" w:w="26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SNS / Pinpoint</w:t>
            </w:r>
          </w:p>
        </w:tc>
        <w:tc>
          <w:tcPr>
            <w:tcW w:type="dxa" w:w="3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SMS de confirmation et de rappel</w:t>
            </w:r>
          </w:p>
        </w:tc>
        <w:tc>
          <w:tcPr>
            <w:tcW w:type="dxa" w:w="34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Envoi transactionnel ; Twilio en alternative selon la couverture.</w:t>
            </w:r>
          </w:p>
        </w:tc>
      </w:tr>
      <w:tr>
        <w:tc>
          <w:tcPr>
            <w:tcW w:type="dxa" w:w="2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EventBridge (Scheduler)</w:t>
            </w:r>
          </w:p>
        </w:tc>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Déclenchement planifié des rappels</w:t>
            </w:r>
          </w:p>
        </w:tc>
        <w:tc>
          <w:tcPr>
            <w:tcW w:type="dxa" w:w="34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Règles horaires évaluant les RDV à J-1.</w:t>
            </w:r>
          </w:p>
        </w:tc>
      </w:tr>
      <w:tr>
        <w:tc>
          <w:tcPr>
            <w:tcW w:type="dxa" w:w="26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SQS</w:t>
            </w:r>
          </w:p>
        </w:tc>
        <w:tc>
          <w:tcPr>
            <w:tcW w:type="dxa" w:w="3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File de découplage des envois</w:t>
            </w:r>
          </w:p>
        </w:tc>
        <w:tc>
          <w:tcPr>
            <w:tcW w:type="dxa" w:w="34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Fiabilise et lisse les pics d'envoi de notifications.</w:t>
            </w:r>
          </w:p>
        </w:tc>
      </w:tr>
      <w:tr>
        <w:tc>
          <w:tcPr>
            <w:tcW w:type="dxa" w:w="2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AWS Lambda</w:t>
            </w:r>
          </w:p>
        </w:tc>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Logique d'envoi asynchrone</w:t>
            </w:r>
          </w:p>
        </w:tc>
        <w:tc>
          <w:tcPr>
            <w:tcW w:type="dxa" w:w="34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Consomme SQS, appelle SES/SNS, met à jour le statut.</w:t>
            </w:r>
          </w:p>
        </w:tc>
      </w:tr>
    </w:tbl>
    <w:p>
      <w:pPr>
        <w:pStyle w:val="Heading2"/>
        <w:spacing w:after="100" w:before="240"/>
      </w:pPr>
      <w:r>
        <w:rPr>
          <w:rFonts w:ascii="Calibri" w:cs="Calibri" w:eastAsia="Calibri" w:hAnsi="Calibri"/>
          <w:b/>
          <w:bCs/>
          <w:color w:val="1F6F6B"/>
          <w:sz w:val="25"/>
          <w:szCs w:val="25"/>
        </w:rPr>
        <w:t xml:space="preserve">4.9 Paiements et conformité PCI-DSS</w:t>
      </w:r>
    </w:p>
    <w:p>
      <w:pPr>
        <w:spacing w:after="120" w:before="0" w:line="276"/>
      </w:pPr>
      <w:r>
        <w:rPr>
          <w:rFonts w:ascii="Calibri" w:cs="Calibri" w:eastAsia="Calibri" w:hAnsi="Calibri"/>
          <w:b w:val="false"/>
          <w:bCs w:val="false"/>
          <w:i w:val="false"/>
          <w:iCs w:val="false"/>
          <w:color w:val="1B2733"/>
          <w:sz w:val="21"/>
          <w:szCs w:val="21"/>
        </w:rPr>
        <w:t xml:space="preserve">Le traitement des paiements est délégué à un prestataire certifié PCI-DSS de niveau 1 (Stripe ou équivalent). L'application ne stocke jamais de numéro de carte : elle manipule uniquement des jetons (tokens). Cette approche réduit fortement le périmètre de conformité PCI à notre charge (auto-évaluation SAQ A).</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Tokenisation côté client. </w:t>
      </w:r>
      <w:r>
        <w:rPr>
          <w:rFonts w:ascii="Calibri" w:cs="Calibri" w:eastAsia="Calibri" w:hAnsi="Calibri"/>
          <w:b w:val="false"/>
          <w:bCs w:val="false"/>
          <w:i w:val="false"/>
          <w:iCs w:val="false"/>
          <w:color w:val="1B2733"/>
          <w:sz w:val="21"/>
          <w:szCs w:val="21"/>
        </w:rPr>
        <w:t xml:space="preserve">Les données de carte transitent directement du navigateur vers le prestataire ; notre backend ne reçoit qu'un jeton.</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Webhooks sécurisés. </w:t>
      </w:r>
      <w:r>
        <w:rPr>
          <w:rFonts w:ascii="Calibri" w:cs="Calibri" w:eastAsia="Calibri" w:hAnsi="Calibri"/>
          <w:b w:val="false"/>
          <w:bCs w:val="false"/>
          <w:i w:val="false"/>
          <w:iCs w:val="false"/>
          <w:color w:val="1B2733"/>
          <w:sz w:val="21"/>
          <w:szCs w:val="21"/>
        </w:rPr>
        <w:t xml:space="preserve">Réception des événements de paiement (succès, échec, remboursement) via des webhooks signés et vérifiés.</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Journalisation et réconciliation. </w:t>
      </w:r>
      <w:r>
        <w:rPr>
          <w:rFonts w:ascii="Calibri" w:cs="Calibri" w:eastAsia="Calibri" w:hAnsi="Calibri"/>
          <w:b w:val="false"/>
          <w:bCs w:val="false"/>
          <w:i w:val="false"/>
          <w:iCs w:val="false"/>
          <w:color w:val="1B2733"/>
          <w:sz w:val="21"/>
          <w:szCs w:val="21"/>
        </w:rPr>
        <w:t xml:space="preserve">Historique des transactions conservé côté application, rapproché des relevés du prestataire.</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Aucune donnée de carte au repos. </w:t>
      </w:r>
      <w:r>
        <w:rPr>
          <w:rFonts w:ascii="Calibri" w:cs="Calibri" w:eastAsia="Calibri" w:hAnsi="Calibri"/>
          <w:b w:val="false"/>
          <w:bCs w:val="false"/>
          <w:i w:val="false"/>
          <w:iCs w:val="false"/>
          <w:color w:val="1B2733"/>
          <w:sz w:val="21"/>
          <w:szCs w:val="21"/>
        </w:rPr>
        <w:t xml:space="preserve">Conformité renforcée, périmètre d'audit minimal.</w:t>
      </w:r>
    </w:p>
    <w:p>
      <w:pPr>
        <w:pStyle w:val="Heading2"/>
        <w:spacing w:after="100" w:before="240"/>
      </w:pPr>
      <w:r>
        <w:rPr>
          <w:rFonts w:ascii="Calibri" w:cs="Calibri" w:eastAsia="Calibri" w:hAnsi="Calibri"/>
          <w:b/>
          <w:bCs/>
          <w:color w:val="1F6F6B"/>
          <w:sz w:val="25"/>
          <w:szCs w:val="25"/>
        </w:rPr>
        <w:t xml:space="preserve">4.10 Sécurité de l'infrastructure</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3000"/>
        <w:gridCol w:w="6026"/>
      </w:tblGrid>
      <w:tr>
        <w:trPr>
          <w:tblHeader/>
        </w:trPr>
        <w:tc>
          <w:tcPr>
            <w:tcW w:type="dxa" w:w="30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Service / mesure</w:t>
            </w:r>
          </w:p>
        </w:tc>
        <w:tc>
          <w:tcPr>
            <w:tcW w:type="dxa" w:w="60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Objectif</w:t>
            </w:r>
          </w:p>
        </w:tc>
      </w:tr>
      <w:tr>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AWS WAF</w:t>
            </w:r>
          </w:p>
        </w:tc>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Protection contre les attaques applicatives (injections, XSS, bots) en amont de CloudFront/ALB.</w:t>
            </w:r>
          </w:p>
        </w:tc>
      </w:tr>
      <w:tr>
        <w:tc>
          <w:tcPr>
            <w:tcW w:type="dxa" w:w="3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AWS Shield (Standard)</w:t>
            </w:r>
          </w:p>
        </w:tc>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Protection DDoS de base incluse ; Shield Advanced en option.</w:t>
            </w:r>
          </w:p>
        </w:tc>
      </w:tr>
      <w:tr>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Chiffrement KMS</w:t>
            </w:r>
          </w:p>
        </w:tc>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Chiffrement au repos (RDS, S3, EBS, ElastiCache, secrets) via clés gérées.</w:t>
            </w:r>
          </w:p>
        </w:tc>
      </w:tr>
      <w:tr>
        <w:tc>
          <w:tcPr>
            <w:tcW w:type="dxa" w:w="3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TLS partout</w:t>
            </w:r>
          </w:p>
        </w:tc>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Chiffrement en transit (HTTPS/TLS 1.2+) sur toutes les communications externes.</w:t>
            </w:r>
          </w:p>
        </w:tc>
      </w:tr>
      <w:tr>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AWS GuardDuty</w:t>
            </w:r>
          </w:p>
        </w:tc>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Détection de menaces et d'activités anormales sur le compte.</w:t>
            </w:r>
          </w:p>
        </w:tc>
      </w:tr>
      <w:tr>
        <w:tc>
          <w:tcPr>
            <w:tcW w:type="dxa" w:w="3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AWS Config + CloudTrail</w:t>
            </w:r>
          </w:p>
        </w:tc>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Traçabilité des changements et audit complet des appels d'API.</w:t>
            </w:r>
          </w:p>
        </w:tc>
      </w:tr>
      <w:tr>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Security Groups &amp; NACL</w:t>
            </w:r>
          </w:p>
        </w:tc>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Segmentation réseau stricte entre couches (web, app, données).</w:t>
            </w:r>
          </w:p>
        </w:tc>
      </w:tr>
      <w:tr>
        <w:tc>
          <w:tcPr>
            <w:tcW w:type="dxa" w:w="3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IAM &amp; moindre privilège</w:t>
            </w:r>
          </w:p>
        </w:tc>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Aucune clé statique, rôles temporaires, séparation des environnements.</w:t>
            </w:r>
          </w:p>
        </w:tc>
      </w:tr>
    </w:tbl>
    <w:p>
      <w:pPr>
        <w:pStyle w:val="Heading2"/>
        <w:spacing w:after="100" w:before="240"/>
      </w:pPr>
      <w:r>
        <w:rPr>
          <w:rFonts w:ascii="Calibri" w:cs="Calibri" w:eastAsia="Calibri" w:hAnsi="Calibri"/>
          <w:b/>
          <w:bCs/>
          <w:color w:val="1F6F6B"/>
          <w:sz w:val="25"/>
          <w:szCs w:val="25"/>
        </w:rPr>
        <w:t xml:space="preserve">4.11 Observabilité et supervision</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3000"/>
        <w:gridCol w:w="6026"/>
      </w:tblGrid>
      <w:tr>
        <w:trPr>
          <w:tblHeader/>
        </w:trPr>
        <w:tc>
          <w:tcPr>
            <w:tcW w:type="dxa" w:w="30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Service</w:t>
            </w:r>
          </w:p>
        </w:tc>
        <w:tc>
          <w:tcPr>
            <w:tcW w:type="dxa" w:w="60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Rôle</w:t>
            </w:r>
          </w:p>
        </w:tc>
      </w:tr>
      <w:tr>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CloudWatch</w:t>
            </w:r>
          </w:p>
        </w:tc>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Métriques, logs applicatifs et d'infrastructure, tableaux de bord, alarmes.</w:t>
            </w:r>
          </w:p>
        </w:tc>
      </w:tr>
      <w:tr>
        <w:tc>
          <w:tcPr>
            <w:tcW w:type="dxa" w:w="3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AWS X-Ray</w:t>
            </w:r>
          </w:p>
        </w:tc>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Traçage distribué des requêtes pour diagnostiquer la latence.</w:t>
            </w:r>
          </w:p>
        </w:tc>
      </w:tr>
      <w:tr>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CloudWatch Alarms + SNS</w:t>
            </w:r>
          </w:p>
        </w:tc>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Alertes automatiques (CPU, erreurs 5xx, latence, saturation BD) vers l'équipe.</w:t>
            </w:r>
          </w:p>
        </w:tc>
      </w:tr>
      <w:tr>
        <w:tc>
          <w:tcPr>
            <w:tcW w:type="dxa" w:w="3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CloudWatch Synthetics (option)</w:t>
            </w:r>
          </w:p>
        </w:tc>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Sondes de disponibilité simulant des parcours clés (réservation).</w:t>
            </w:r>
          </w:p>
        </w:tc>
      </w:tr>
    </w:tbl>
    <w:p>
      <w:pPr>
        <w:pStyle w:val="Heading2"/>
        <w:spacing w:after="100" w:before="240"/>
      </w:pPr>
      <w:r>
        <w:rPr>
          <w:rFonts w:ascii="Calibri" w:cs="Calibri" w:eastAsia="Calibri" w:hAnsi="Calibri"/>
          <w:b/>
          <w:bCs/>
          <w:color w:val="1F6F6B"/>
          <w:sz w:val="25"/>
          <w:szCs w:val="25"/>
        </w:rPr>
        <w:t xml:space="preserve">4.12 CI/CD et Infrastructure-as-Code</w:t>
      </w:r>
    </w:p>
    <w:p>
      <w:pPr>
        <w:spacing w:after="120" w:before="0" w:line="276"/>
      </w:pPr>
      <w:r>
        <w:rPr>
          <w:rFonts w:ascii="Calibri" w:cs="Calibri" w:eastAsia="Calibri" w:hAnsi="Calibri"/>
          <w:b w:val="false"/>
          <w:bCs w:val="false"/>
          <w:i w:val="false"/>
          <w:iCs w:val="false"/>
          <w:color w:val="1B2733"/>
          <w:sz w:val="21"/>
          <w:szCs w:val="21"/>
        </w:rPr>
        <w:t xml:space="preserve">Le déploiement est automatisé de bout en bout. Le code d'infrastructure et le code applicatif suivent le même flux : revue, tests, construction, déploiement progressif.</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2400"/>
        <w:gridCol w:w="3000"/>
        <w:gridCol w:w="3626"/>
      </w:tblGrid>
      <w:tr>
        <w:trPr>
          <w:tblHeader/>
        </w:trPr>
        <w:tc>
          <w:tcPr>
            <w:tcW w:type="dxa" w:w="24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Élément</w:t>
            </w:r>
          </w:p>
        </w:tc>
        <w:tc>
          <w:tcPr>
            <w:tcW w:type="dxa" w:w="30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Outil</w:t>
            </w:r>
          </w:p>
        </w:tc>
        <w:tc>
          <w:tcPr>
            <w:tcW w:type="dxa" w:w="36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Rôle</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Gestion de source</w:t>
            </w:r>
          </w:p>
        </w:tc>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GitHub / AWS CodeCommit</w:t>
            </w:r>
          </w:p>
        </w:tc>
        <w:tc>
          <w:tcPr>
            <w:tcW w:type="dxa" w:w="36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Dépôts versionnés, revues par pull request.</w:t>
            </w:r>
          </w:p>
        </w:tc>
      </w:tr>
      <w:tr>
        <w:tc>
          <w:tcPr>
            <w:tcW w:type="dxa" w:w="2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Intégration continue</w:t>
            </w:r>
          </w:p>
        </w:tc>
        <w:tc>
          <w:tcPr>
            <w:tcW w:type="dxa" w:w="3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GitHub Actions / AWS CodeBuild</w:t>
            </w:r>
          </w:p>
        </w:tc>
        <w:tc>
          <w:tcPr>
            <w:tcW w:type="dxa" w:w="36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Tests automatisés, construction et scan des images Docker.</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Déploiement continu</w:t>
            </w:r>
          </w:p>
        </w:tc>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AWS CodePipeline / CodeDeploy</w:t>
            </w:r>
          </w:p>
        </w:tc>
        <w:tc>
          <w:tcPr>
            <w:tcW w:type="dxa" w:w="36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Déploiement vers ECS avec stratégie blue-green ou canary.</w:t>
            </w:r>
          </w:p>
        </w:tc>
      </w:tr>
      <w:tr>
        <w:tc>
          <w:tcPr>
            <w:tcW w:type="dxa" w:w="2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Infrastructure-as-Code</w:t>
            </w:r>
          </w:p>
        </w:tc>
        <w:tc>
          <w:tcPr>
            <w:tcW w:type="dxa" w:w="3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Terraform (ou AWS CDK)</w:t>
            </w:r>
          </w:p>
        </w:tc>
        <w:tc>
          <w:tcPr>
            <w:tcW w:type="dxa" w:w="36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Provisionnement reproductible de tous les environnements.</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Registre d'images</w:t>
            </w:r>
          </w:p>
        </w:tc>
        <w:tc>
          <w:tcPr>
            <w:tcW w:type="dxa" w:w="3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ECR</w:t>
            </w:r>
          </w:p>
        </w:tc>
        <w:tc>
          <w:tcPr>
            <w:tcW w:type="dxa" w:w="36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Stockage sécurisé des images conteneur.</w:t>
            </w:r>
          </w:p>
        </w:tc>
      </w:tr>
    </w:tbl>
    <w:p>
      <w:pPr>
        <w:pStyle w:val="Heading2"/>
        <w:spacing w:after="100" w:before="240"/>
      </w:pPr>
      <w:r>
        <w:rPr>
          <w:rFonts w:ascii="Calibri" w:cs="Calibri" w:eastAsia="Calibri" w:hAnsi="Calibri"/>
          <w:b/>
          <w:bCs/>
          <w:color w:val="1F6F6B"/>
          <w:sz w:val="25"/>
          <w:szCs w:val="25"/>
        </w:rPr>
        <w:t xml:space="preserve">4.13 Environnements</w:t>
      </w:r>
    </w:p>
    <w:p>
      <w:pPr>
        <w:spacing w:after="120" w:before="0" w:line="276"/>
      </w:pPr>
      <w:r>
        <w:rPr>
          <w:rFonts w:ascii="Calibri" w:cs="Calibri" w:eastAsia="Calibri" w:hAnsi="Calibri"/>
          <w:b w:val="false"/>
          <w:bCs w:val="false"/>
          <w:i w:val="false"/>
          <w:iCs w:val="false"/>
          <w:color w:val="1B2733"/>
          <w:sz w:val="21"/>
          <w:szCs w:val="21"/>
        </w:rPr>
        <w:t xml:space="preserve">Trois environnements isolés couvrent le cycle de vie. Les environnements hors production sont dimensionnés a minima et peuvent être arrêtés hors heures ouvrées pour réduire les coûts.</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2400"/>
        <w:gridCol w:w="3200"/>
        <w:gridCol w:w="3426"/>
      </w:tblGrid>
      <w:tr>
        <w:trPr>
          <w:tblHeader/>
        </w:trPr>
        <w:tc>
          <w:tcPr>
            <w:tcW w:type="dxa" w:w="24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Environnement</w:t>
            </w:r>
          </w:p>
        </w:tc>
        <w:tc>
          <w:tcPr>
            <w:tcW w:type="dxa" w:w="32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Usage</w:t>
            </w:r>
          </w:p>
        </w:tc>
        <w:tc>
          <w:tcPr>
            <w:tcW w:type="dxa" w:w="34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Dimensionnement</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Développement (dev)</w:t>
            </w:r>
          </w:p>
        </w:tc>
        <w:tc>
          <w:tcPr>
            <w:tcW w:type="dxa" w:w="32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Développement quotidien, intégration</w:t>
            </w:r>
          </w:p>
        </w:tc>
        <w:tc>
          <w:tcPr>
            <w:tcW w:type="dxa" w:w="34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Ressources minimales, mono-AZ, données fictives.</w:t>
            </w:r>
          </w:p>
        </w:tc>
      </w:tr>
      <w:tr>
        <w:tc>
          <w:tcPr>
            <w:tcW w:type="dxa" w:w="2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Recette (staging)</w:t>
            </w:r>
          </w:p>
        </w:tc>
        <w:tc>
          <w:tcPr>
            <w:tcW w:type="dxa" w:w="32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Tests d'intégration, UAT, pré-production</w:t>
            </w:r>
          </w:p>
        </w:tc>
        <w:tc>
          <w:tcPr>
            <w:tcW w:type="dxa" w:w="34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Proche de la production à échelle réduite.</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Production (prod)</w:t>
            </w:r>
          </w:p>
        </w:tc>
        <w:tc>
          <w:tcPr>
            <w:tcW w:type="dxa" w:w="32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Service aux utilisateurs finaux</w:t>
            </w:r>
          </w:p>
        </w:tc>
        <w:tc>
          <w:tcPr>
            <w:tcW w:type="dxa" w:w="34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Multi-AZ, haute disponibilité, sauvegardes et supervision complètes.</w:t>
            </w:r>
          </w:p>
        </w:tc>
      </w:tr>
    </w:tbl>
    <w:p>
      <w:pPr>
        <w:pStyle w:val="Heading2"/>
        <w:spacing w:after="100" w:before="240"/>
      </w:pPr>
      <w:r>
        <w:rPr>
          <w:rFonts w:ascii="Calibri" w:cs="Calibri" w:eastAsia="Calibri" w:hAnsi="Calibri"/>
          <w:b/>
          <w:bCs/>
          <w:color w:val="1F6F6B"/>
          <w:sz w:val="25"/>
          <w:szCs w:val="25"/>
        </w:rPr>
        <w:t xml:space="preserve">4.14 Sauvegarde et reprise d'activité (PRA/DR)</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2600"/>
        <w:gridCol w:w="3600"/>
        <w:gridCol w:w="2826"/>
      </w:tblGrid>
      <w:tr>
        <w:trPr>
          <w:tblHeader/>
        </w:trPr>
        <w:tc>
          <w:tcPr>
            <w:tcW w:type="dxa" w:w="26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Mesure</w:t>
            </w:r>
          </w:p>
        </w:tc>
        <w:tc>
          <w:tcPr>
            <w:tcW w:type="dxa" w:w="36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Détail</w:t>
            </w:r>
          </w:p>
        </w:tc>
        <w:tc>
          <w:tcPr>
            <w:tcW w:type="dxa" w:w="28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Objectif</w:t>
            </w:r>
          </w:p>
        </w:tc>
      </w:tr>
      <w:tr>
        <w:tc>
          <w:tcPr>
            <w:tcW w:type="dxa" w:w="2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Sauvegardes RDS automatiques</w:t>
            </w:r>
          </w:p>
        </w:tc>
        <w:tc>
          <w:tcPr>
            <w:tcW w:type="dxa" w:w="3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Rétention 7–30 jours + snapshots manuels avant releases</w:t>
            </w:r>
          </w:p>
        </w:tc>
        <w:tc>
          <w:tcPr>
            <w:tcW w:type="dxa" w:w="28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RPO faible sur les données transactionnelles.</w:t>
            </w:r>
          </w:p>
        </w:tc>
      </w:tr>
      <w:tr>
        <w:tc>
          <w:tcPr>
            <w:tcW w:type="dxa" w:w="26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AWS Backup</w:t>
            </w:r>
          </w:p>
        </w:tc>
        <w:tc>
          <w:tcPr>
            <w:tcW w:type="dxa" w:w="36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Sauvegardes centralisées et planifiées (RDS, S3, EFS)</w:t>
            </w:r>
          </w:p>
        </w:tc>
        <w:tc>
          <w:tcPr>
            <w:tcW w:type="dxa" w:w="28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Politique de rétention unifiée et auditable.</w:t>
            </w:r>
          </w:p>
        </w:tc>
      </w:tr>
      <w:tr>
        <w:tc>
          <w:tcPr>
            <w:tcW w:type="dxa" w:w="2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Multi-AZ</w:t>
            </w:r>
          </w:p>
        </w:tc>
        <w:tc>
          <w:tcPr>
            <w:tcW w:type="dxa" w:w="3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Bascule automatique de la base en cas de panne d'une AZ</w:t>
            </w:r>
          </w:p>
        </w:tc>
        <w:tc>
          <w:tcPr>
            <w:tcW w:type="dxa" w:w="28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Haute disponibilité intra-région.</w:t>
            </w:r>
          </w:p>
        </w:tc>
      </w:tr>
      <w:tr>
        <w:tc>
          <w:tcPr>
            <w:tcW w:type="dxa" w:w="26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Réplication S3 (option)</w:t>
            </w:r>
          </w:p>
        </w:tc>
        <w:tc>
          <w:tcPr>
            <w:tcW w:type="dxa" w:w="36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Copie inter-région des médias et exports</w:t>
            </w:r>
          </w:p>
        </w:tc>
        <w:tc>
          <w:tcPr>
            <w:tcW w:type="dxa" w:w="28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Résilience régionale.</w:t>
            </w:r>
          </w:p>
        </w:tc>
      </w:tr>
      <w:tr>
        <w:tc>
          <w:tcPr>
            <w:tcW w:type="dxa" w:w="2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Runbook de restauration</w:t>
            </w:r>
          </w:p>
        </w:tc>
        <w:tc>
          <w:tcPr>
            <w:tcW w:type="dxa" w:w="3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Procédure testée de restauration et de bascule</w:t>
            </w:r>
          </w:p>
        </w:tc>
        <w:tc>
          <w:tcPr>
            <w:tcW w:type="dxa" w:w="28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RTO maîtrisé, restauration éprouvée.</w:t>
            </w:r>
          </w:p>
        </w:tc>
      </w:tr>
    </w:tbl>
    <w:p>
      <w:pPr>
        <w:spacing w:after="60"/>
      </w:pPr>
      <w:r>
        <w:rPr>
          <w:rFonts w:ascii="Calibri" w:cs="Calibri" w:eastAsia="Calibri" w:hAnsi="Calibri"/>
          <w:b w:val="false"/>
          <w:bCs w:val="false"/>
          <w:i w:val="false"/>
          <w:iCs w:val="false"/>
          <w:color w:val="1B2733"/>
          <w:sz w:val="21"/>
          <w:szCs w:val="21"/>
        </w:rPr>
        <w:t xml:space="preserve"/>
      </w:r>
    </w:p>
    <w:tbl>
      <w:tblPr>
        <w:tblW w:type="dxa" w:w="9026"/>
        <w:tblBorders>
          <w:top w:val="single" w:color="EAF2F1" w:sz="2"/>
          <w:left w:val="single" w:color="1F6F6B" w:sz="24"/>
          <w:bottom w:val="single" w:color="EAF2F1" w:sz="2"/>
          <w:right w:val="single" w:color="EAF2F1" w:sz="2"/>
          <w:insideH w:val="none"/>
          <w:insideV w:val="none"/>
        </w:tblBorders>
      </w:tblPr>
      <w:tblGrid>
        <w:gridCol w:w="9026"/>
      </w:tblGrid>
      <w:tr>
        <w:tc>
          <w:tcPr>
            <w:tcW w:type="dxa" w:w="9026"/>
            <w:shd w:fill="EAF2F1" w:color="auto" w:val="clear"/>
            <w:tcMar>
              <w:top w:type="dxa" w:w="120"/>
              <w:left w:type="dxa" w:w="200"/>
              <w:bottom w:type="dxa" w:w="120"/>
              <w:right w:type="dxa" w:w="160"/>
            </w:tcMar>
          </w:tcPr>
          <w:p>
            <w:pPr>
              <w:spacing w:after="60"/>
            </w:pPr>
            <w:r>
              <w:rPr>
                <w:rFonts w:ascii="Calibri" w:cs="Calibri" w:eastAsia="Calibri" w:hAnsi="Calibri"/>
                <w:b/>
                <w:bCs/>
                <w:i w:val="false"/>
                <w:iCs w:val="false"/>
                <w:color w:val="134744"/>
                <w:sz w:val="21"/>
                <w:szCs w:val="21"/>
              </w:rPr>
              <w:t xml:space="preserve">Objectifs de continuité (cibles à confirmer)</w:t>
            </w:r>
          </w:p>
          <w:p>
            <w:pPr>
              <w:spacing w:after="60" w:line="264"/>
            </w:pPr>
            <w:r>
              <w:rPr>
                <w:rFonts w:ascii="Calibri" w:cs="Calibri" w:eastAsia="Calibri" w:hAnsi="Calibri"/>
                <w:b/>
                <w:bCs/>
                <w:i w:val="false"/>
                <w:iCs w:val="false"/>
                <w:color w:val="1B2733"/>
                <w:sz w:val="21"/>
                <w:szCs w:val="21"/>
              </w:rPr>
              <w:t xml:space="preserve">RPO (perte de données maximale tolérée) : </w:t>
            </w:r>
            <w:r>
              <w:rPr>
                <w:rFonts w:ascii="Calibri" w:cs="Calibri" w:eastAsia="Calibri" w:hAnsi="Calibri"/>
                <w:b w:val="false"/>
                <w:bCs w:val="false"/>
                <w:i w:val="false"/>
                <w:iCs w:val="false"/>
                <w:color w:val="1B2733"/>
                <w:sz w:val="21"/>
                <w:szCs w:val="21"/>
              </w:rPr>
              <w:t xml:space="preserve">≤ 1 heure.   </w:t>
            </w:r>
            <w:r>
              <w:rPr>
                <w:rFonts w:ascii="Calibri" w:cs="Calibri" w:eastAsia="Calibri" w:hAnsi="Calibri"/>
                <w:b/>
                <w:bCs/>
                <w:i w:val="false"/>
                <w:iCs w:val="false"/>
                <w:color w:val="1B2733"/>
                <w:sz w:val="21"/>
                <w:szCs w:val="21"/>
              </w:rPr>
              <w:t xml:space="preserve">RTO (temps de reprise visé) : </w:t>
            </w:r>
            <w:r>
              <w:rPr>
                <w:rFonts w:ascii="Calibri" w:cs="Calibri" w:eastAsia="Calibri" w:hAnsi="Calibri"/>
                <w:b w:val="false"/>
                <w:bCs w:val="false"/>
                <w:i w:val="false"/>
                <w:iCs w:val="false"/>
                <w:color w:val="1B2733"/>
                <w:sz w:val="21"/>
                <w:szCs w:val="21"/>
              </w:rPr>
              <w:t xml:space="preserve">≤ 4 heures.</w:t>
            </w:r>
          </w:p>
          <w:p>
            <w:pPr>
              <w:spacing w:after="0" w:line="264"/>
            </w:pPr>
            <w:r>
              <w:rPr>
                <w:rFonts w:ascii="Calibri" w:cs="Calibri" w:eastAsia="Calibri" w:hAnsi="Calibri"/>
                <w:b w:val="false"/>
                <w:bCs w:val="false"/>
                <w:i w:val="false"/>
                <w:iCs w:val="false"/>
                <w:color w:val="1B2733"/>
                <w:sz w:val="20"/>
                <w:szCs w:val="20"/>
              </w:rPr>
              <w:t xml:space="preserve">Ces valeurs sont des cibles de départ, à valider avec le métier selon la criticité et le budget.</w:t>
            </w:r>
          </w:p>
        </w:tc>
      </w:tr>
    </w:tbl>
    <w:p>
      <w:pPr>
        <w:pStyle w:val="Heading2"/>
        <w:spacing w:after="100" w:before="240"/>
      </w:pPr>
      <w:r>
        <w:rPr>
          <w:rFonts w:ascii="Calibri" w:cs="Calibri" w:eastAsia="Calibri" w:hAnsi="Calibri"/>
          <w:b/>
          <w:bCs/>
          <w:color w:val="1F6F6B"/>
          <w:sz w:val="25"/>
          <w:szCs w:val="25"/>
        </w:rPr>
        <w:t xml:space="preserve">4.15 Dimensionnement initial (production)</w:t>
      </w:r>
    </w:p>
    <w:p>
      <w:pPr>
        <w:spacing w:after="120" w:before="0" w:line="276"/>
      </w:pPr>
      <w:r>
        <w:rPr>
          <w:rFonts w:ascii="Calibri" w:cs="Calibri" w:eastAsia="Calibri" w:hAnsi="Calibri"/>
          <w:b w:val="false"/>
          <w:bCs w:val="false"/>
          <w:i w:val="false"/>
          <w:iCs w:val="false"/>
          <w:color w:val="1B2733"/>
          <w:sz w:val="21"/>
          <w:szCs w:val="21"/>
        </w:rPr>
        <w:t xml:space="preserve">Le dimensionnement ci-dessous correspond à un MVP servant un à quelques établissements, avec une charge modérée. L'auto-scaling absorbe les pics ; le dimensionnement est réévalué après le lancement en fonction des métriques réelles.</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2400"/>
        <w:gridCol w:w="3400"/>
        <w:gridCol w:w="3226"/>
      </w:tblGrid>
      <w:tr>
        <w:trPr>
          <w:tblHeader/>
        </w:trPr>
        <w:tc>
          <w:tcPr>
            <w:tcW w:type="dxa" w:w="24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Ressource</w:t>
            </w:r>
          </w:p>
        </w:tc>
        <w:tc>
          <w:tcPr>
            <w:tcW w:type="dxa" w:w="34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Dimension de départ</w:t>
            </w:r>
          </w:p>
        </w:tc>
        <w:tc>
          <w:tcPr>
            <w:tcW w:type="dxa" w:w="32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Levier de montée en charge</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ECS Fargate</w:t>
            </w:r>
          </w:p>
        </w:tc>
        <w:tc>
          <w:tcPr>
            <w:tcW w:type="dxa" w:w="3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2–3 tâches (0,5–1 vCPU / 1–2 Go)</w:t>
            </w:r>
          </w:p>
        </w:tc>
        <w:tc>
          <w:tcPr>
            <w:tcW w:type="dxa" w:w="32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Auto-scaling jusqu'à 8 tâches.</w:t>
            </w:r>
          </w:p>
        </w:tc>
      </w:tr>
      <w:tr>
        <w:tc>
          <w:tcPr>
            <w:tcW w:type="dxa" w:w="2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RDS PostgreSQL</w:t>
            </w:r>
          </w:p>
        </w:tc>
        <w:tc>
          <w:tcPr>
            <w:tcW w:type="dxa" w:w="3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db.t4g.medium, Multi-AZ, 50–100 Go gp3</w:t>
            </w:r>
          </w:p>
        </w:tc>
        <w:tc>
          <w:tcPr>
            <w:tcW w:type="dxa" w:w="32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Instance supérieure + read replicas.</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ElastiCache Redis</w:t>
            </w:r>
          </w:p>
        </w:tc>
        <w:tc>
          <w:tcPr>
            <w:tcW w:type="dxa" w:w="3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cache.t4g.small, 1 réplica</w:t>
            </w:r>
          </w:p>
        </w:tc>
        <w:tc>
          <w:tcPr>
            <w:tcW w:type="dxa" w:w="32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Nœuds plus grands / cluster mode.</w:t>
            </w:r>
          </w:p>
        </w:tc>
      </w:tr>
      <w:tr>
        <w:tc>
          <w:tcPr>
            <w:tcW w:type="dxa" w:w="2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ALB</w:t>
            </w:r>
          </w:p>
        </w:tc>
        <w:tc>
          <w:tcPr>
            <w:tcW w:type="dxa" w:w="34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1 (2 AZ)</w:t>
            </w:r>
          </w:p>
        </w:tc>
        <w:tc>
          <w:tcPr>
            <w:tcW w:type="dxa" w:w="32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Débit géré automatiquement.</w:t>
            </w:r>
          </w:p>
        </w:tc>
      </w:tr>
      <w:tr>
        <w:tc>
          <w:tcPr>
            <w:tcW w:type="dxa" w:w="2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NAT Gateway</w:t>
            </w:r>
          </w:p>
        </w:tc>
        <w:tc>
          <w:tcPr>
            <w:tcW w:type="dxa" w:w="34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2 (une par AZ)</w:t>
            </w:r>
          </w:p>
        </w:tc>
        <w:tc>
          <w:tcPr>
            <w:tcW w:type="dxa" w:w="32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Débit géré automatiquement.</w:t>
            </w:r>
          </w:p>
        </w:tc>
      </w:tr>
    </w:tbl>
    <w:p>
      <w:pPr>
        <w:pStyle w:val="Heading2"/>
        <w:spacing w:after="100" w:before="240"/>
      </w:pPr>
      <w:r>
        <w:rPr>
          <w:rFonts w:ascii="Calibri" w:cs="Calibri" w:eastAsia="Calibri" w:hAnsi="Calibri"/>
          <w:b/>
          <w:bCs/>
          <w:color w:val="1F6F6B"/>
          <w:sz w:val="25"/>
          <w:szCs w:val="25"/>
        </w:rPr>
        <w:t xml:space="preserve">4.16 Estimation budgétaire mensuelle (indicative)</w:t>
      </w:r>
    </w:p>
    <w:p>
      <w:pPr>
        <w:spacing w:after="120" w:before="0" w:line="276"/>
      </w:pPr>
      <w:r>
        <w:rPr>
          <w:rFonts w:ascii="Calibri" w:cs="Calibri" w:eastAsia="Calibri" w:hAnsi="Calibri"/>
          <w:b w:val="false"/>
          <w:bCs w:val="false"/>
          <w:i w:val="false"/>
          <w:iCs w:val="false"/>
          <w:color w:val="1B2733"/>
          <w:sz w:val="21"/>
          <w:szCs w:val="21"/>
        </w:rPr>
        <w:t xml:space="preserve">L'estimation suivante donne un ordre de grandeur du coût mensuel de la production, en dollars US, hors taxes, hors coûts de développement et hors volumétrie SMS (très variable selon le pays et le volume). Les montants réels dépendent de la région, du trafic et des optimisations (instances réservées, Savings Plans).</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6026"/>
        <w:gridCol w:w="3000"/>
      </w:tblGrid>
      <w:tr>
        <w:trPr>
          <w:tblHeader/>
        </w:trPr>
        <w:tc>
          <w:tcPr>
            <w:tcW w:type="dxa" w:w="60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Poste (production)</w:t>
            </w:r>
          </w:p>
        </w:tc>
        <w:tc>
          <w:tcPr>
            <w:tcW w:type="dxa" w:w="30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Fourchette mensuelle (USD)</w:t>
            </w:r>
          </w:p>
        </w:tc>
      </w:tr>
      <w:tr>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ECS Fargate</w:t>
            </w:r>
          </w:p>
        </w:tc>
        <w:tc>
          <w:tcPr>
            <w:tcW w:type="dxa" w:w="3000"/>
            <w:shd w:fill="FFFFFF"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70 – 130</w:t>
            </w:r>
          </w:p>
        </w:tc>
      </w:tr>
      <w:tr>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RDS PostgreSQL (Multi-AZ)</w:t>
            </w:r>
          </w:p>
        </w:tc>
        <w:tc>
          <w:tcPr>
            <w:tcW w:type="dxa" w:w="3000"/>
            <w:shd w:fill="F2F6F6"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180 – 260</w:t>
            </w:r>
          </w:p>
        </w:tc>
      </w:tr>
      <w:tr>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ElastiCache (Redis)</w:t>
            </w:r>
          </w:p>
        </w:tc>
        <w:tc>
          <w:tcPr>
            <w:tcW w:type="dxa" w:w="3000"/>
            <w:shd w:fill="FFFFFF"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25 – 60</w:t>
            </w:r>
          </w:p>
        </w:tc>
      </w:tr>
      <w:tr>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Application Load Balancer</w:t>
            </w:r>
          </w:p>
        </w:tc>
        <w:tc>
          <w:tcPr>
            <w:tcW w:type="dxa" w:w="3000"/>
            <w:shd w:fill="F2F6F6"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20 – 30</w:t>
            </w:r>
          </w:p>
        </w:tc>
      </w:tr>
      <w:tr>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NAT Gateway (×2) + transfert de données</w:t>
            </w:r>
          </w:p>
        </w:tc>
        <w:tc>
          <w:tcPr>
            <w:tcW w:type="dxa" w:w="3000"/>
            <w:shd w:fill="FFFFFF"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70 – 120</w:t>
            </w:r>
          </w:p>
        </w:tc>
      </w:tr>
      <w:tr>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S3 + CloudFront</w:t>
            </w:r>
          </w:p>
        </w:tc>
        <w:tc>
          <w:tcPr>
            <w:tcW w:type="dxa" w:w="3000"/>
            <w:shd w:fill="F2F6F6"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20 – 60</w:t>
            </w:r>
          </w:p>
        </w:tc>
      </w:tr>
      <w:tr>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Amazon SES (e-mails)</w:t>
            </w:r>
          </w:p>
        </w:tc>
        <w:tc>
          <w:tcPr>
            <w:tcW w:type="dxa" w:w="3000"/>
            <w:shd w:fill="FFFFFF"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1 – 15</w:t>
            </w:r>
          </w:p>
        </w:tc>
      </w:tr>
      <w:tr>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WAF, Secrets Manager, KMS, CloudWatch</w:t>
            </w:r>
          </w:p>
        </w:tc>
        <w:tc>
          <w:tcPr>
            <w:tcW w:type="dxa" w:w="3000"/>
            <w:shd w:fill="F2F6F6"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40 – 90</w:t>
            </w:r>
          </w:p>
        </w:tc>
      </w:tr>
      <w:tr>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Cognito (selon MAU)</w:t>
            </w:r>
          </w:p>
        </w:tc>
        <w:tc>
          <w:tcPr>
            <w:tcW w:type="dxa" w:w="3000"/>
            <w:shd w:fill="FFFFFF"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0 – 30</w:t>
            </w:r>
          </w:p>
        </w:tc>
      </w:tr>
      <w:tr>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bCs/>
                <w:i w:val="false"/>
                <w:iCs w:val="false"/>
                <w:color w:val="1B2733"/>
                <w:sz w:val="19"/>
                <w:szCs w:val="19"/>
              </w:rPr>
              <w:t xml:space="preserve">Sous-total production (hors SMS)</w:t>
            </w:r>
          </w:p>
        </w:tc>
        <w:tc>
          <w:tcPr>
            <w:tcW w:type="dxa" w:w="3000"/>
            <w:shd w:fill="F2F6F6" w:color="auto" w:val="clear"/>
            <w:tcMar>
              <w:top w:type="dxa" w:w="60"/>
              <w:left w:type="dxa" w:w="90"/>
              <w:bottom w:type="dxa" w:w="60"/>
              <w:right w:type="dxa" w:w="90"/>
            </w:tcMar>
            <w:vAlign w:val="center"/>
          </w:tcPr>
          <w:p>
            <w:pPr>
              <w:spacing w:after="0" w:line="252"/>
              <w:jc w:val="center"/>
            </w:pPr>
            <w:r>
              <w:rPr>
                <w:rFonts w:ascii="Calibri" w:cs="Calibri" w:eastAsia="Calibri" w:hAnsi="Calibri"/>
                <w:b/>
                <w:bCs/>
                <w:i w:val="false"/>
                <w:iCs w:val="false"/>
                <w:color w:val="134744"/>
                <w:sz w:val="19"/>
                <w:szCs w:val="19"/>
              </w:rPr>
              <w:t xml:space="preserve">≈ 430 – 800 / mois</w:t>
            </w:r>
          </w:p>
        </w:tc>
      </w:tr>
      <w:tr>
        <w:tc>
          <w:tcPr>
            <w:tcW w:type="dxa" w:w="60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Environnements dev + staging (réduits)</w:t>
            </w:r>
          </w:p>
        </w:tc>
        <w:tc>
          <w:tcPr>
            <w:tcW w:type="dxa" w:w="3000"/>
            <w:shd w:fill="FFFFFF"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150 – 300</w:t>
            </w:r>
          </w:p>
        </w:tc>
      </w:tr>
      <w:tr>
        <w:tc>
          <w:tcPr>
            <w:tcW w:type="dxa" w:w="60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SMS (SNS/Pinpoint ou Twilio)</w:t>
            </w:r>
          </w:p>
        </w:tc>
        <w:tc>
          <w:tcPr>
            <w:tcW w:type="dxa" w:w="3000"/>
            <w:shd w:fill="F2F6F6"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i w:val="false"/>
                <w:iCs w:val="false"/>
                <w:color w:val="1B2733"/>
                <w:sz w:val="19"/>
                <w:szCs w:val="19"/>
              </w:rPr>
              <w:t xml:space="preserve">Selon volume et pays</w:t>
            </w:r>
          </w:p>
        </w:tc>
      </w:tr>
    </w:tbl>
    <w:p>
      <w:pPr>
        <w:spacing w:after="60"/>
      </w:pPr>
      <w:r>
        <w:rPr>
          <w:rFonts w:ascii="Calibri" w:cs="Calibri" w:eastAsia="Calibri" w:hAnsi="Calibri"/>
          <w:b w:val="false"/>
          <w:bCs w:val="false"/>
          <w:i w:val="false"/>
          <w:iCs w:val="false"/>
          <w:color w:val="1B2733"/>
          <w:sz w:val="21"/>
          <w:szCs w:val="21"/>
        </w:rPr>
        <w:t xml:space="preserve"/>
      </w:r>
    </w:p>
    <w:tbl>
      <w:tblPr>
        <w:tblW w:type="dxa" w:w="9026"/>
        <w:tblBorders>
          <w:top w:val="single" w:color="FBF3E4" w:sz="2"/>
          <w:left w:val="single" w:color="C9A24B" w:sz="24"/>
          <w:bottom w:val="single" w:color="FBF3E4" w:sz="2"/>
          <w:right w:val="single" w:color="FBF3E4" w:sz="2"/>
          <w:insideH w:val="none"/>
          <w:insideV w:val="none"/>
        </w:tblBorders>
      </w:tblPr>
      <w:tblGrid>
        <w:gridCol w:w="9026"/>
      </w:tblGrid>
      <w:tr>
        <w:tc>
          <w:tcPr>
            <w:tcW w:type="dxa" w:w="9026"/>
            <w:shd w:fill="FBF3E4" w:color="auto" w:val="clear"/>
            <w:tcMar>
              <w:top w:type="dxa" w:w="120"/>
              <w:left w:type="dxa" w:w="200"/>
              <w:bottom w:type="dxa" w:w="120"/>
              <w:right w:type="dxa" w:w="160"/>
            </w:tcMar>
          </w:tcPr>
          <w:p>
            <w:pPr>
              <w:spacing w:after="60"/>
            </w:pPr>
            <w:r>
              <w:rPr>
                <w:rFonts w:ascii="Calibri" w:cs="Calibri" w:eastAsia="Calibri" w:hAnsi="Calibri"/>
                <w:b/>
                <w:bCs/>
                <w:i w:val="false"/>
                <w:iCs w:val="false"/>
                <w:color w:val="134744"/>
                <w:sz w:val="21"/>
                <w:szCs w:val="21"/>
              </w:rPr>
              <w:t xml:space="preserve">Leviers d'optimisation des coûts</w:t>
            </w:r>
          </w:p>
          <w:p>
            <w:pPr>
              <w:spacing w:after="0" w:line="264"/>
            </w:pPr>
            <w:r>
              <w:rPr>
                <w:rFonts w:ascii="Calibri" w:cs="Calibri" w:eastAsia="Calibri" w:hAnsi="Calibri"/>
                <w:b w:val="false"/>
                <w:bCs w:val="false"/>
                <w:i w:val="false"/>
                <w:iCs w:val="false"/>
                <w:color w:val="1B2733"/>
                <w:sz w:val="20"/>
                <w:szCs w:val="20"/>
              </w:rPr>
              <w:t xml:space="preserve">Compute Savings Plans / instances réservées sur RDS et Fargate (jusqu'à ~40 % d'économie sur charge stable) · arrêt programmé des environnements hors production · politiques de cycle de vie S3 · surveillance via AWS Budgets et Cost Explorer · révision du dimensionnement après 1 à 2 mois d'exploitation réelle.</w:t>
            </w:r>
          </w:p>
        </w:tc>
      </w:tr>
    </w:tbl>
    <w:p>
      <w:r>
        <w:br w:type="page"/>
      </w:r>
    </w:p>
    <w:p>
      <w:pPr>
        <w:pStyle w:val="Heading1"/>
        <w:spacing w:after="140" w:before="320"/>
      </w:pPr>
      <w:r>
        <w:rPr>
          <w:rFonts w:ascii="Calibri" w:cs="Calibri" w:eastAsia="Calibri" w:hAnsi="Calibri"/>
          <w:b/>
          <w:bCs/>
          <w:color w:val="134744"/>
          <w:sz w:val="30"/>
          <w:szCs w:val="30"/>
        </w:rPr>
        <w:t xml:space="preserve">5. Sécurité, conformité et protection des données</w:t>
      </w:r>
    </w:p>
    <w:p>
      <w:pPr>
        <w:spacing w:after="120" w:before="0" w:line="276"/>
      </w:pPr>
      <w:r>
        <w:rPr>
          <w:rFonts w:ascii="Calibri" w:cs="Calibri" w:eastAsia="Calibri" w:hAnsi="Calibri"/>
          <w:b w:val="false"/>
          <w:bCs w:val="false"/>
          <w:i w:val="false"/>
          <w:iCs w:val="false"/>
          <w:color w:val="1B2733"/>
          <w:sz w:val="21"/>
          <w:szCs w:val="21"/>
        </w:rPr>
        <w:t xml:space="preserve">Au-delà des mesures d'infrastructure (section 4.10), la protection des données personnelles des clients constitue une exigence transverse. L'application traite des données à caractère personnel (identité, coordonnées, historique de rendez-vous, notes) soumises aux réglementations applicables (RGPD en Europe et cadres équivalents).</w:t>
      </w:r>
    </w:p>
    <w:p>
      <w:pPr>
        <w:pStyle w:val="Heading3"/>
        <w:spacing w:after="80" w:before="180"/>
      </w:pPr>
      <w:r>
        <w:rPr>
          <w:rFonts w:ascii="Calibri" w:cs="Calibri" w:eastAsia="Calibri" w:hAnsi="Calibri"/>
          <w:b/>
          <w:bCs/>
          <w:color w:val="1B2733"/>
          <w:sz w:val="22"/>
          <w:szCs w:val="22"/>
        </w:rPr>
        <w:t xml:space="preserve">5.1 Principes de protection des données</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Minimisation. </w:t>
      </w:r>
      <w:r>
        <w:rPr>
          <w:rFonts w:ascii="Calibri" w:cs="Calibri" w:eastAsia="Calibri" w:hAnsi="Calibri"/>
          <w:b w:val="false"/>
          <w:bCs w:val="false"/>
          <w:i w:val="false"/>
          <w:iCs w:val="false"/>
          <w:color w:val="1B2733"/>
          <w:sz w:val="21"/>
          <w:szCs w:val="21"/>
        </w:rPr>
        <w:t xml:space="preserve">Ne collecter que les données strictement nécessaires à la réservation et au suivi client.</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Consentement et finalités. </w:t>
      </w:r>
      <w:r>
        <w:rPr>
          <w:rFonts w:ascii="Calibri" w:cs="Calibri" w:eastAsia="Calibri" w:hAnsi="Calibri"/>
          <w:b w:val="false"/>
          <w:bCs w:val="false"/>
          <w:i w:val="false"/>
          <w:iCs w:val="false"/>
          <w:color w:val="1B2733"/>
          <w:sz w:val="21"/>
          <w:szCs w:val="21"/>
        </w:rPr>
        <w:t xml:space="preserve">Information claire des utilisateurs, base légale explicite pour chaque traitement (notifications, marketing ultérieur).</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Droits des personnes. </w:t>
      </w:r>
      <w:r>
        <w:rPr>
          <w:rFonts w:ascii="Calibri" w:cs="Calibri" w:eastAsia="Calibri" w:hAnsi="Calibri"/>
          <w:b w:val="false"/>
          <w:bCs w:val="false"/>
          <w:i w:val="false"/>
          <w:iCs w:val="false"/>
          <w:color w:val="1B2733"/>
          <w:sz w:val="21"/>
          <w:szCs w:val="21"/>
        </w:rPr>
        <w:t xml:space="preserve">Mécanismes d'accès, de rectification, d'export et de suppression des données (droit à l'oubli).</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Chiffrement. </w:t>
      </w:r>
      <w:r>
        <w:rPr>
          <w:rFonts w:ascii="Calibri" w:cs="Calibri" w:eastAsia="Calibri" w:hAnsi="Calibri"/>
          <w:b w:val="false"/>
          <w:bCs w:val="false"/>
          <w:i w:val="false"/>
          <w:iCs w:val="false"/>
          <w:color w:val="1B2733"/>
          <w:sz w:val="21"/>
          <w:szCs w:val="21"/>
        </w:rPr>
        <w:t xml:space="preserve">Chiffrement systématique au repos (KMS) et en transit (TLS).</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Cloisonnement multi-tenant. </w:t>
      </w:r>
      <w:r>
        <w:rPr>
          <w:rFonts w:ascii="Calibri" w:cs="Calibri" w:eastAsia="Calibri" w:hAnsi="Calibri"/>
          <w:b w:val="false"/>
          <w:bCs w:val="false"/>
          <w:i w:val="false"/>
          <w:iCs w:val="false"/>
          <w:color w:val="1B2733"/>
          <w:sz w:val="21"/>
          <w:szCs w:val="21"/>
        </w:rPr>
        <w:t xml:space="preserve">Isolation logique stricte des données entre établissements.</w:t>
      </w:r>
    </w:p>
    <w:p>
      <w:pPr>
        <w:pStyle w:val="ListParagraph"/>
        <w:numPr>
          <w:ilvl w:val="0"/>
          <w:numId w:val="3"/>
        </w:numPr>
        <w:spacing w:after="60" w:line="264"/>
      </w:pPr>
      <w:r>
        <w:rPr>
          <w:rFonts w:ascii="Calibri" w:cs="Calibri" w:eastAsia="Calibri" w:hAnsi="Calibri"/>
          <w:b/>
          <w:bCs/>
          <w:i w:val="false"/>
          <w:iCs w:val="false"/>
          <w:color w:val="1B2733"/>
          <w:sz w:val="21"/>
          <w:szCs w:val="21"/>
        </w:rPr>
        <w:t xml:space="preserve">Résidence des données. </w:t>
      </w:r>
      <w:r>
        <w:rPr>
          <w:rFonts w:ascii="Calibri" w:cs="Calibri" w:eastAsia="Calibri" w:hAnsi="Calibri"/>
          <w:b w:val="false"/>
          <w:bCs w:val="false"/>
          <w:i w:val="false"/>
          <w:iCs w:val="false"/>
          <w:color w:val="1B2733"/>
          <w:sz w:val="21"/>
          <w:szCs w:val="21"/>
        </w:rPr>
        <w:t xml:space="preserve">Choix de la région AWS en cohérence avec les obligations de localisation.</w:t>
      </w:r>
    </w:p>
    <w:p>
      <w:pPr>
        <w:pStyle w:val="Heading3"/>
        <w:spacing w:after="80" w:before="180"/>
      </w:pPr>
      <w:r>
        <w:rPr>
          <w:rFonts w:ascii="Calibri" w:cs="Calibri" w:eastAsia="Calibri" w:hAnsi="Calibri"/>
          <w:b/>
          <w:bCs/>
          <w:color w:val="1B2733"/>
          <w:sz w:val="22"/>
          <w:szCs w:val="22"/>
        </w:rPr>
        <w:t xml:space="preserve">5.2 Conformité des paiements</w:t>
      </w:r>
    </w:p>
    <w:p>
      <w:pPr>
        <w:spacing w:after="120" w:before="0" w:line="276"/>
      </w:pPr>
      <w:r>
        <w:rPr>
          <w:rFonts w:ascii="Calibri" w:cs="Calibri" w:eastAsia="Calibri" w:hAnsi="Calibri"/>
          <w:b w:val="false"/>
          <w:bCs w:val="false"/>
          <w:i w:val="false"/>
          <w:iCs w:val="false"/>
          <w:color w:val="1B2733"/>
          <w:sz w:val="21"/>
          <w:szCs w:val="21"/>
        </w:rPr>
        <w:t xml:space="preserve">La délégation du traitement des cartes à un prestataire PCI-DSS de niveau 1 et l'absence de stockage de données de carte réduisent le périmètre de conformité à notre charge à une auto-évaluation simplifiée (SAQ A). Les webhooks et clés d'API sont sécurisés via Secrets Manager.</w:t>
      </w:r>
    </w:p>
    <w:p>
      <w:r>
        <w:br w:type="page"/>
      </w:r>
    </w:p>
    <w:p>
      <w:pPr>
        <w:pStyle w:val="Heading1"/>
        <w:spacing w:after="140" w:before="320"/>
      </w:pPr>
      <w:r>
        <w:rPr>
          <w:rFonts w:ascii="Calibri" w:cs="Calibri" w:eastAsia="Calibri" w:hAnsi="Calibri"/>
          <w:b/>
          <w:bCs/>
          <w:color w:val="134744"/>
          <w:sz w:val="30"/>
          <w:szCs w:val="30"/>
        </w:rPr>
        <w:t xml:space="preserve">6. Risques et mesures d'atténuation</w:t>
      </w:r>
    </w:p>
    <w:p>
      <w:pPr>
        <w:spacing w:after="120" w:before="0" w:line="276"/>
      </w:pPr>
      <w:r>
        <w:rPr>
          <w:rFonts w:ascii="Calibri" w:cs="Calibri" w:eastAsia="Calibri" w:hAnsi="Calibri"/>
          <w:b w:val="false"/>
          <w:bCs w:val="false"/>
          <w:i w:val="false"/>
          <w:iCs w:val="false"/>
          <w:color w:val="1B2733"/>
          <w:sz w:val="21"/>
          <w:szCs w:val="21"/>
        </w:rPr>
        <w:t xml:space="preserve">Les principaux risques identifiés et leurs mesures d'atténuation sont recensés ci-dessous. Ce registre est vivant : il est revu à chaque fin de semaine.</w:t>
      </w:r>
    </w:p>
    <w:tbl>
      <w:tblPr>
        <w:tblW w:type="dxa" w:w="9026"/>
        <w:tblBorders>
          <w:top w:val="single" w:color="D3DEDD" w:sz="4"/>
          <w:left w:val="single" w:color="D3DEDD" w:sz="4"/>
          <w:bottom w:val="single" w:color="D3DEDD" w:sz="4"/>
          <w:right w:val="single" w:color="D3DEDD" w:sz="4"/>
          <w:insideH w:val="single" w:color="D3DEDD" w:sz="4"/>
          <w:insideV w:val="single" w:color="D3DEDD" w:sz="4"/>
        </w:tblBorders>
      </w:tblPr>
      <w:tblGrid>
        <w:gridCol w:w="2600"/>
        <w:gridCol w:w="1000"/>
        <w:gridCol w:w="900"/>
        <w:gridCol w:w="4526"/>
      </w:tblGrid>
      <w:tr>
        <w:trPr>
          <w:tblHeader/>
        </w:trPr>
        <w:tc>
          <w:tcPr>
            <w:tcW w:type="dxa" w:w="26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Risque</w:t>
            </w:r>
          </w:p>
        </w:tc>
        <w:tc>
          <w:tcPr>
            <w:tcW w:type="dxa" w:w="10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Impact</w:t>
            </w:r>
          </w:p>
        </w:tc>
        <w:tc>
          <w:tcPr>
            <w:tcW w:type="dxa" w:w="900"/>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Prob.</w:t>
            </w:r>
          </w:p>
        </w:tc>
        <w:tc>
          <w:tcPr>
            <w:tcW w:type="dxa" w:w="4526"/>
            <w:shd w:fill="1F6F6B" w:color="auto" w:val="clear"/>
            <w:tcMar>
              <w:top w:type="dxa" w:w="60"/>
              <w:left w:type="dxa" w:w="90"/>
              <w:bottom w:type="dxa" w:w="60"/>
              <w:right w:type="dxa" w:w="90"/>
            </w:tcMar>
            <w:vAlign w:val="center"/>
          </w:tcPr>
          <w:p>
            <w:pPr>
              <w:spacing w:after="0" w:line="252"/>
              <w:jc w:val="left"/>
            </w:pPr>
            <w:r>
              <w:rPr>
                <w:rFonts w:ascii="Calibri" w:cs="Calibri" w:eastAsia="Calibri" w:hAnsi="Calibri"/>
                <w:b/>
                <w:bCs/>
                <w:i w:val="false"/>
                <w:iCs w:val="false"/>
                <w:color w:val="FFFFFF"/>
                <w:sz w:val="19"/>
                <w:szCs w:val="19"/>
              </w:rPr>
              <w:t xml:space="preserve">Mesure d'atténuation</w:t>
            </w:r>
          </w:p>
        </w:tc>
      </w:tr>
      <w:tr>
        <w:tc>
          <w:tcPr>
            <w:tcW w:type="dxa" w:w="2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Glissement du calendrier comprimé d'1 mois</w:t>
            </w:r>
          </w:p>
        </w:tc>
        <w:tc>
          <w:tcPr>
            <w:tcW w:type="dxa" w:w="1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Élevé</w:t>
            </w:r>
          </w:p>
        </w:tc>
        <w:tc>
          <w:tcPr>
            <w:tcW w:type="dxa" w:w="9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Moy.</w:t>
            </w:r>
          </w:p>
        </w:tc>
        <w:tc>
          <w:tcPr>
            <w:tcW w:type="dxa" w:w="45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Périmètre figé, workstreams en parallèle, suivi quotidien, accélérateurs ; report des éléments en excès sur une release rapide de suivi.</w:t>
            </w:r>
          </w:p>
        </w:tc>
      </w:tr>
      <w:tr>
        <w:tc>
          <w:tcPr>
            <w:tcW w:type="dxa" w:w="26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Double réservation d'un même créneau</w:t>
            </w:r>
          </w:p>
        </w:tc>
        <w:tc>
          <w:tcPr>
            <w:tcW w:type="dxa" w:w="1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Élevé</w:t>
            </w:r>
          </w:p>
        </w:tc>
        <w:tc>
          <w:tcPr>
            <w:tcW w:type="dxa" w:w="9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Moy.</w:t>
            </w:r>
          </w:p>
        </w:tc>
        <w:tc>
          <w:tcPr>
            <w:tcW w:type="dxa" w:w="45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Verrouillage transactionnel et contraintes d'unicité en base ; tests de concurrence.</w:t>
            </w:r>
          </w:p>
        </w:tc>
      </w:tr>
      <w:tr>
        <w:tc>
          <w:tcPr>
            <w:tcW w:type="dxa" w:w="2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Dérive du périmètre (scope creep)</w:t>
            </w:r>
          </w:p>
        </w:tc>
        <w:tc>
          <w:tcPr>
            <w:tcW w:type="dxa" w:w="1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Élevé</w:t>
            </w:r>
          </w:p>
        </w:tc>
        <w:tc>
          <w:tcPr>
            <w:tcW w:type="dxa" w:w="9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Élevée</w:t>
            </w:r>
          </w:p>
        </w:tc>
        <w:tc>
          <w:tcPr>
            <w:tcW w:type="dxa" w:w="45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Périmètre MVP figé, backlog priorisé, gouvernance des changements.</w:t>
            </w:r>
          </w:p>
        </w:tc>
      </w:tr>
      <w:tr>
        <w:tc>
          <w:tcPr>
            <w:tcW w:type="dxa" w:w="26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Délivrabilité e-mail/SMS insuffisante</w:t>
            </w:r>
          </w:p>
        </w:tc>
        <w:tc>
          <w:tcPr>
            <w:tcW w:type="dxa" w:w="1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Moyen</w:t>
            </w:r>
          </w:p>
        </w:tc>
        <w:tc>
          <w:tcPr>
            <w:tcW w:type="dxa" w:w="9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Moy.</w:t>
            </w:r>
          </w:p>
        </w:tc>
        <w:tc>
          <w:tcPr>
            <w:tcW w:type="dxa" w:w="45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Domaine vérifié (DKIM/SPF/DMARC), suivi des bounces, fournisseur SMS de secours.</w:t>
            </w:r>
          </w:p>
        </w:tc>
      </w:tr>
      <w:tr>
        <w:tc>
          <w:tcPr>
            <w:tcW w:type="dxa" w:w="2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Coûts AWS supérieurs aux prévisions</w:t>
            </w:r>
          </w:p>
        </w:tc>
        <w:tc>
          <w:tcPr>
            <w:tcW w:type="dxa" w:w="1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Moyen</w:t>
            </w:r>
          </w:p>
        </w:tc>
        <w:tc>
          <w:tcPr>
            <w:tcW w:type="dxa" w:w="9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Moy.</w:t>
            </w:r>
          </w:p>
        </w:tc>
        <w:tc>
          <w:tcPr>
            <w:tcW w:type="dxa" w:w="45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AWS Budgets, Cost Explorer, right-sizing, Savings Plans, arrêt des environnements hors prod.</w:t>
            </w:r>
          </w:p>
        </w:tc>
      </w:tr>
      <w:tr>
        <w:tc>
          <w:tcPr>
            <w:tcW w:type="dxa" w:w="26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Non-conformité RGPD</w:t>
            </w:r>
          </w:p>
        </w:tc>
        <w:tc>
          <w:tcPr>
            <w:tcW w:type="dxa" w:w="10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Élevé</w:t>
            </w:r>
          </w:p>
        </w:tc>
        <w:tc>
          <w:tcPr>
            <w:tcW w:type="dxa" w:w="900"/>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Faible</w:t>
            </w:r>
          </w:p>
        </w:tc>
        <w:tc>
          <w:tcPr>
            <w:tcW w:type="dxa" w:w="4526"/>
            <w:shd w:fill="F2F6F6"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Privacy by design, registre des traitements, gestion des droits, région adaptée.</w:t>
            </w:r>
          </w:p>
        </w:tc>
      </w:tr>
      <w:tr>
        <w:tc>
          <w:tcPr>
            <w:tcW w:type="dxa" w:w="26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Indisponibilité (panne d'AZ)</w:t>
            </w:r>
          </w:p>
        </w:tc>
        <w:tc>
          <w:tcPr>
            <w:tcW w:type="dxa" w:w="10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Élevé</w:t>
            </w:r>
          </w:p>
        </w:tc>
        <w:tc>
          <w:tcPr>
            <w:tcW w:type="dxa" w:w="900"/>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Faible</w:t>
            </w:r>
          </w:p>
        </w:tc>
        <w:tc>
          <w:tcPr>
            <w:tcW w:type="dxa" w:w="4526"/>
            <w:shd w:fill="FFFFFF"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i w:val="false"/>
                <w:iCs w:val="false"/>
                <w:color w:val="1B2733"/>
                <w:sz w:val="19"/>
                <w:szCs w:val="19"/>
              </w:rPr>
              <w:t xml:space="preserve">Multi-AZ, sauvegardes, runbook de restauration testé.</w:t>
            </w:r>
          </w:p>
        </w:tc>
      </w:tr>
    </w:tbl>
    <w:p>
      <w:r>
        <w:br w:type="page"/>
      </w:r>
    </w:p>
    <w:p>
      <w:pPr>
        <w:pStyle w:val="Heading1"/>
        <w:spacing w:after="140" w:before="320"/>
      </w:pPr>
      <w:r>
        <w:rPr>
          <w:rFonts w:ascii="Calibri" w:cs="Calibri" w:eastAsia="Calibri" w:hAnsi="Calibri"/>
          <w:b/>
          <w:bCs/>
          <w:color w:val="134744"/>
          <w:sz w:val="30"/>
          <w:szCs w:val="30"/>
        </w:rPr>
        <w:t xml:space="preserve">7. Facteurs clés de succès et prochaines étapes</w:t>
      </w:r>
    </w:p>
    <w:p>
      <w:pPr>
        <w:pStyle w:val="Heading3"/>
        <w:spacing w:after="80" w:before="180"/>
      </w:pPr>
      <w:r>
        <w:rPr>
          <w:rFonts w:ascii="Calibri" w:cs="Calibri" w:eastAsia="Calibri" w:hAnsi="Calibri"/>
          <w:b/>
          <w:bCs/>
          <w:color w:val="1B2733"/>
          <w:sz w:val="22"/>
          <w:szCs w:val="22"/>
        </w:rPr>
        <w:t xml:space="preserve">7.1 Facteurs clés de succès</w:t>
      </w:r>
    </w:p>
    <w:p>
      <w:pPr>
        <w:pStyle w:val="ListParagraph"/>
        <w:numPr>
          <w:ilvl w:val="0"/>
          <w:numId w:val="3"/>
        </w:numPr>
        <w:spacing w:after="60" w:line="264"/>
      </w:pPr>
      <w:r>
        <w:rPr>
          <w:rFonts w:ascii="Calibri" w:cs="Calibri" w:eastAsia="Calibri" w:hAnsi="Calibri"/>
          <w:b w:val="false"/>
          <w:bCs w:val="false"/>
          <w:i w:val="false"/>
          <w:iCs w:val="false"/>
          <w:color w:val="1B2733"/>
          <w:sz w:val="21"/>
          <w:szCs w:val="21"/>
        </w:rPr>
        <w:t xml:space="preserve">Un périmètre MVP strictement maîtrisé et protégé de toute dérive — critique compte tenu du calendrier d'un mois.</w:t>
      </w:r>
    </w:p>
    <w:p>
      <w:pPr>
        <w:pStyle w:val="ListParagraph"/>
        <w:numPr>
          <w:ilvl w:val="0"/>
          <w:numId w:val="3"/>
        </w:numPr>
        <w:spacing w:after="60" w:line="264"/>
      </w:pPr>
      <w:r>
        <w:rPr>
          <w:rFonts w:ascii="Calibri" w:cs="Calibri" w:eastAsia="Calibri" w:hAnsi="Calibri"/>
          <w:b w:val="false"/>
          <w:bCs w:val="false"/>
          <w:i w:val="false"/>
          <w:iCs w:val="false"/>
          <w:color w:val="1B2733"/>
          <w:sz w:val="21"/>
          <w:szCs w:val="21"/>
        </w:rPr>
        <w:t xml:space="preserve">Des workstreams en parallèle et un socle technique plus une infrastructure automatisés dès le premier jour (Semaine 1).</w:t>
      </w:r>
    </w:p>
    <w:p>
      <w:pPr>
        <w:pStyle w:val="ListParagraph"/>
        <w:numPr>
          <w:ilvl w:val="0"/>
          <w:numId w:val="3"/>
        </w:numPr>
        <w:spacing w:after="60" w:line="264"/>
      </w:pPr>
      <w:r>
        <w:rPr>
          <w:rFonts w:ascii="Calibri" w:cs="Calibri" w:eastAsia="Calibri" w:hAnsi="Calibri"/>
          <w:b w:val="false"/>
          <w:bCs w:val="false"/>
          <w:i w:val="false"/>
          <w:iCs w:val="false"/>
          <w:color w:val="1B2733"/>
          <w:sz w:val="21"/>
          <w:szCs w:val="21"/>
        </w:rPr>
        <w:t xml:space="preserve">Une attention particulière au moteur de disponibilité et à la prévention des doubles réservations, cœur de la valeur perçue.</w:t>
      </w:r>
    </w:p>
    <w:p>
      <w:pPr>
        <w:pStyle w:val="ListParagraph"/>
        <w:numPr>
          <w:ilvl w:val="0"/>
          <w:numId w:val="3"/>
        </w:numPr>
        <w:spacing w:after="60" w:line="264"/>
      </w:pPr>
      <w:r>
        <w:rPr>
          <w:rFonts w:ascii="Calibri" w:cs="Calibri" w:eastAsia="Calibri" w:hAnsi="Calibri"/>
          <w:b w:val="false"/>
          <w:bCs w:val="false"/>
          <w:i w:val="false"/>
          <w:iCs w:val="false"/>
          <w:color w:val="1B2733"/>
          <w:sz w:val="21"/>
          <w:szCs w:val="21"/>
        </w:rPr>
        <w:t xml:space="preserve">Une expérience de réservation client simple, rapide et fiable.</w:t>
      </w:r>
    </w:p>
    <w:p>
      <w:pPr>
        <w:pStyle w:val="ListParagraph"/>
        <w:numPr>
          <w:ilvl w:val="0"/>
          <w:numId w:val="3"/>
        </w:numPr>
        <w:spacing w:after="60" w:line="264"/>
      </w:pPr>
      <w:r>
        <w:rPr>
          <w:rFonts w:ascii="Calibri" w:cs="Calibri" w:eastAsia="Calibri" w:hAnsi="Calibri"/>
          <w:b w:val="false"/>
          <w:bCs w:val="false"/>
          <w:i w:val="false"/>
          <w:iCs w:val="false"/>
          <w:color w:val="1B2733"/>
          <w:sz w:val="21"/>
          <w:szCs w:val="21"/>
        </w:rPr>
        <w:t xml:space="preserve">Une observabilité et une supervision en place avant le lancement.</w:t>
      </w:r>
    </w:p>
    <w:p>
      <w:pPr>
        <w:pStyle w:val="ListParagraph"/>
        <w:numPr>
          <w:ilvl w:val="0"/>
          <w:numId w:val="3"/>
        </w:numPr>
        <w:spacing w:after="60" w:line="264"/>
      </w:pPr>
      <w:r>
        <w:rPr>
          <w:rFonts w:ascii="Calibri" w:cs="Calibri" w:eastAsia="Calibri" w:hAnsi="Calibri"/>
          <w:b w:val="false"/>
          <w:bCs w:val="false"/>
          <w:i w:val="false"/>
          <w:iCs w:val="false"/>
          <w:color w:val="1B2733"/>
          <w:sz w:val="21"/>
          <w:szCs w:val="21"/>
        </w:rPr>
        <w:t xml:space="preserve">Une gouvernance produit et une communication régulières avec les parties prenantes.</w:t>
      </w:r>
    </w:p>
    <w:p>
      <w:pPr>
        <w:pStyle w:val="Heading3"/>
        <w:spacing w:after="80" w:before="180"/>
      </w:pPr>
      <w:r>
        <w:rPr>
          <w:rFonts w:ascii="Calibri" w:cs="Calibri" w:eastAsia="Calibri" w:hAnsi="Calibri"/>
          <w:b/>
          <w:bCs/>
          <w:color w:val="1B2733"/>
          <w:sz w:val="22"/>
          <w:szCs w:val="22"/>
        </w:rPr>
        <w:t xml:space="preserve">7.2 Prochaines étapes immédiates</w:t>
      </w:r>
    </w:p>
    <w:p>
      <w:pPr>
        <w:pStyle w:val="ListParagraph"/>
        <w:numPr>
          <w:ilvl w:val="0"/>
          <w:numId w:val="2"/>
        </w:numPr>
        <w:spacing w:after="60" w:line="264"/>
      </w:pPr>
      <w:r>
        <w:rPr>
          <w:rFonts w:ascii="Calibri" w:cs="Calibri" w:eastAsia="Calibri" w:hAnsi="Calibri"/>
          <w:b w:val="false"/>
          <w:bCs w:val="false"/>
          <w:i w:val="false"/>
          <w:iCs w:val="false"/>
          <w:color w:val="1B2733"/>
          <w:sz w:val="21"/>
          <w:szCs w:val="21"/>
        </w:rPr>
        <w:t xml:space="preserve">Valider ce document de cadrage avec les parties prenantes et confirmer la cible d'un mois et ses hypothèses.</w:t>
      </w:r>
    </w:p>
    <w:p>
      <w:pPr>
        <w:pStyle w:val="ListParagraph"/>
        <w:numPr>
          <w:ilvl w:val="0"/>
          <w:numId w:val="2"/>
        </w:numPr>
        <w:spacing w:after="60" w:line="264"/>
      </w:pPr>
      <w:r>
        <w:rPr>
          <w:rFonts w:ascii="Calibri" w:cs="Calibri" w:eastAsia="Calibri" w:hAnsi="Calibri"/>
          <w:b w:val="false"/>
          <w:bCs w:val="false"/>
          <w:i w:val="false"/>
          <w:iCs w:val="false"/>
          <w:color w:val="1B2733"/>
          <w:sz w:val="21"/>
          <w:szCs w:val="21"/>
        </w:rPr>
        <w:t xml:space="preserve">Confirmer la stack technologique et la région AWS cible.</w:t>
      </w:r>
    </w:p>
    <w:p>
      <w:pPr>
        <w:pStyle w:val="ListParagraph"/>
        <w:numPr>
          <w:ilvl w:val="0"/>
          <w:numId w:val="2"/>
        </w:numPr>
        <w:spacing w:after="60" w:line="264"/>
      </w:pPr>
      <w:r>
        <w:rPr>
          <w:rFonts w:ascii="Calibri" w:cs="Calibri" w:eastAsia="Calibri" w:hAnsi="Calibri"/>
          <w:b w:val="false"/>
          <w:bCs w:val="false"/>
          <w:i w:val="false"/>
          <w:iCs w:val="false"/>
          <w:color w:val="1B2733"/>
          <w:sz w:val="21"/>
          <w:szCs w:val="21"/>
        </w:rPr>
        <w:t xml:space="preserve">Initialiser le backlog priorisé et figer le modèle de livraison et les hypothèses.</w:t>
      </w:r>
    </w:p>
    <w:p>
      <w:pPr>
        <w:pStyle w:val="ListParagraph"/>
        <w:numPr>
          <w:ilvl w:val="0"/>
          <w:numId w:val="2"/>
        </w:numPr>
        <w:spacing w:after="60" w:line="264"/>
      </w:pPr>
      <w:r>
        <w:rPr>
          <w:rFonts w:ascii="Calibri" w:cs="Calibri" w:eastAsia="Calibri" w:hAnsi="Calibri"/>
          <w:b w:val="false"/>
          <w:bCs w:val="false"/>
          <w:i w:val="false"/>
          <w:iCs w:val="false"/>
          <w:color w:val="1B2733"/>
          <w:sz w:val="21"/>
          <w:szCs w:val="21"/>
        </w:rPr>
        <w:t xml:space="preserve">Lancer la Semaine 1 : socle AWS, CI/CD, modèle de données, authentification, catalogue de services et parcours UX en parallèle.</w:t>
      </w:r>
    </w:p>
    <w:p>
      <w:pPr>
        <w:pStyle w:val="ListParagraph"/>
        <w:numPr>
          <w:ilvl w:val="0"/>
          <w:numId w:val="2"/>
        </w:numPr>
        <w:spacing w:after="60" w:line="264"/>
      </w:pPr>
      <w:r>
        <w:rPr>
          <w:rFonts w:ascii="Calibri" w:cs="Calibri" w:eastAsia="Calibri" w:hAnsi="Calibri"/>
          <w:b w:val="false"/>
          <w:bCs w:val="false"/>
          <w:i w:val="false"/>
          <w:iCs w:val="false"/>
          <w:color w:val="1B2733"/>
          <w:sz w:val="21"/>
          <w:szCs w:val="21"/>
        </w:rPr>
        <w:t xml:space="preserve">Affiner les estimations d'effort et de budget à la fin de la Semaine 1.</w:t>
      </w:r>
    </w:p>
    <w:p>
      <w:pPr>
        <w:pStyle w:val="Heading3"/>
        <w:spacing w:after="80" w:before="180"/>
      </w:pPr>
      <w:r>
        <w:rPr>
          <w:rFonts w:ascii="Calibri" w:cs="Calibri" w:eastAsia="Calibri" w:hAnsi="Calibri"/>
          <w:b/>
          <w:bCs/>
          <w:color w:val="1B2733"/>
          <w:sz w:val="22"/>
          <w:szCs w:val="22"/>
        </w:rPr>
        <w:t xml:space="preserve">7.3 Trajectoire post-MVP (aperçu)</w:t>
      </w:r>
    </w:p>
    <w:p>
      <w:pPr>
        <w:spacing w:after="120" w:before="0" w:line="276"/>
      </w:pPr>
      <w:r>
        <w:rPr>
          <w:rFonts w:ascii="Calibri" w:cs="Calibri" w:eastAsia="Calibri" w:hAnsi="Calibri"/>
          <w:b w:val="false"/>
          <w:bCs w:val="false"/>
          <w:i w:val="false"/>
          <w:iCs w:val="false"/>
          <w:color w:val="1B2733"/>
          <w:sz w:val="21"/>
          <w:szCs w:val="21"/>
        </w:rPr>
        <w:t xml:space="preserve">Une fois le MVP stabilisé, la feuille de route de croissance pourra intégrer, par ordre de valeur : abonnements et forfaits, cartes cadeaux, campagnes marketing et e-mailing, gestion d'inventaire (back bar), pourboires multi-staff, support multi-établissement, assistant de messagerie IA (à l'image de Messenger[ai] de Booker) et application mobile native. Ces évolutions s'appuieront sur l'architecture modulaire et multi-tenant posée dès le MVP.</w:t>
      </w:r>
    </w:p>
    <w:p>
      <w:pPr>
        <w:spacing w:after="120"/>
      </w:pPr>
      <w:r>
        <w:rPr>
          <w:rFonts w:ascii="Calibri" w:cs="Calibri" w:eastAsia="Calibri" w:hAnsi="Calibri"/>
          <w:b w:val="false"/>
          <w:bCs w:val="false"/>
          <w:i w:val="false"/>
          <w:iCs w:val="false"/>
          <w:color w:val="1B2733"/>
          <w:sz w:val="21"/>
          <w:szCs w:val="21"/>
        </w:rPr>
        <w:t xml:space="preserve"/>
      </w:r>
    </w:p>
    <w:p>
      <w:pPr>
        <w:pBdr>
          <w:top w:val="single" w:color="C9A24B" w:sz="8"/>
        </w:pBdr>
        <w:spacing w:before="200"/>
      </w:pPr>
      <w:r>
        <w:rPr>
          <w:rFonts w:ascii="Calibri" w:cs="Calibri" w:eastAsia="Calibri" w:hAnsi="Calibri"/>
          <w:b w:val="false"/>
          <w:bCs w:val="false"/>
          <w:i/>
          <w:iCs/>
          <w:color w:val="44515E"/>
          <w:sz w:val="18"/>
          <w:szCs w:val="18"/>
        </w:rPr>
        <w:t xml:space="preserve">Fin du document — Application de Réservation Spa &amp; Salon (MVP) · Planning, Roadmap &amp; Infrastructure AWS · v1.2</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3E2" w:sz="4"/>
      </w:pBdr>
      <w:tabs>
        <w:tab w:val="center" w:pos="4513"/>
        <w:tab w:val="right" w:pos="9026"/>
      </w:tabs>
      <w:spacing w:before="0"/>
    </w:pPr>
    <w:r>
      <w:rPr>
        <w:rFonts w:ascii="Calibri" w:cs="Calibri" w:eastAsia="Calibri" w:hAnsi="Calibri"/>
        <w:color w:val="44515E"/>
        <w:sz w:val="16"/>
        <w:szCs w:val="16"/>
      </w:rPr>
      <w:t xml:space="preserve">Confidentiel</w:t>
    </w:r>
    <w:r>
      <w:rPr>
        <w:rFonts w:ascii="Calibri" w:cs="Calibri" w:eastAsia="Calibri" w:hAnsi="Calibri"/>
        <w:color w:val="44515E"/>
        <w:sz w:val="16"/>
        <w:szCs w:val="16"/>
      </w:rPr>
      <w:t xml:space="preserve">	v1.2 — 19/08/2026	</w:t>
    </w:r>
    <w:r>
      <w:rPr>
        <w:rFonts w:ascii="Calibri" w:cs="Calibri" w:eastAsia="Calibri" w:hAnsi="Calibri"/>
        <w:color w:val="44515E"/>
        <w:sz w:val="16"/>
        <w:szCs w:val="16"/>
      </w:rPr>
      <w:t xml:space="preserve">Page </w:t>
      <w:fldChar w:fldCharType="begin"/>
      <w:instrText xml:space="preserve">PAGE</w:instrText>
      <w:fldChar w:fldCharType="separate"/>
      <w:fldChar w:fldCharType="end"/>
      <w:t xml:space="preserve"> sur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3E2" w:sz="4"/>
      </w:pBdr>
      <w:tabs>
        <w:tab w:val="right" w:pos="9026"/>
      </w:tabs>
      <w:spacing w:after="0"/>
    </w:pPr>
    <w:r>
      <w:rPr>
        <w:rFonts w:ascii="Calibri" w:cs="Calibri" w:eastAsia="Calibri" w:hAnsi="Calibri"/>
        <w:color w:val="44515E"/>
        <w:sz w:val="16"/>
        <w:szCs w:val="16"/>
      </w:rPr>
      <w:t xml:space="preserve">App Réservation Spa &amp; Salon — MVP</w:t>
    </w:r>
    <w:r>
      <w:rPr>
        <w:rFonts w:ascii="Calibri" w:cs="Calibri" w:eastAsia="Calibri" w:hAnsi="Calibri"/>
        <w:color w:val="44515E"/>
        <w:sz w:val="16"/>
        <w:szCs w:val="16"/>
      </w:rPr>
      <w:t xml:space="preserve">	Cadrage &amp; Infrastructure AWS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1F6F6B"/>
      </w:rPr>
    </w:lvl>
    <w:lvl w:ilvl="1" w15:tentative="1">
      <w:start w:val="1"/>
      <w:numFmt w:val="bullet"/>
      <w:lvlText w:val="–"/>
      <w:lvlJc w:val="left"/>
      <w:pPr>
        <w:ind w:left="720" w:hanging="220"/>
      </w:pPr>
      <w:rPr>
        <w:color w:val="C9A24B"/>
      </w:rPr>
    </w:lvl>
    <w:lvl w:ilvl="2" w15:tentative="1">
      <w:start w:val="1"/>
      <w:numFmt w:val="bullet"/>
      <w:lvlText w:val="·"/>
      <w:lvlJc w:val="left"/>
      <w:pPr>
        <w:ind w:left="1080" w:hanging="220"/>
      </w:pPr>
    </w:lvl>
  </w:abstractNum>
  <w:abstractNum w:abstractNumId="3" w15:restartNumberingAfterBreak="0">
    <w:multiLevelType w:val="hybridMultilevel"/>
    <w:lvl w:ilvl="0" w15:tentative="1">
      <w:start w:val="1"/>
      <w:numFmt w:val="decimal"/>
      <w:lvlText w:val="%1."/>
      <w:lvlJc w:val="left"/>
      <w:pPr>
        <w:ind w:left="420" w:hanging="260"/>
      </w:pPr>
      <w:rPr>
        <w:b/>
        <w:bCs/>
        <w:color w:val="1F6F6B"/>
      </w:rPr>
    </w:lvl>
    <w:lvl w:ilvl="1" w15:tentative="1">
      <w:start w:val="1"/>
      <w:numFmt w:val="lowerLetter"/>
      <w:lvlText w:val="%2."/>
      <w:lvlJc w:val="left"/>
      <w:pPr>
        <w:ind w:left="8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34744"/>
      <w:sz w:val="30"/>
      <w:szCs w:val="30"/>
    </w:rPr>
  </w:style>
  <w:style w:type="paragraph" w:styleId="Heading2">
    <w:name w:val="Heading 2"/>
    <w:basedOn w:val="Normal"/>
    <w:next w:val="Normal"/>
    <w:qFormat/>
    <w:rPr>
      <w:rFonts w:ascii="Calibri" w:cs="Calibri" w:eastAsia="Calibri" w:hAnsi="Calibri"/>
      <w:b/>
      <w:bCs/>
      <w:color w:val="1F6F6B"/>
      <w:sz w:val="25"/>
      <w:szCs w:val="25"/>
    </w:rPr>
  </w:style>
  <w:style w:type="paragraph" w:styleId="Heading3">
    <w:name w:val="Heading 3"/>
    <w:basedOn w:val="Normal"/>
    <w:next w:val="Normal"/>
    <w:qFormat/>
    <w:rPr>
      <w:rFonts w:ascii="Calibri" w:cs="Calibri" w:eastAsia="Calibri" w:hAnsi="Calibri"/>
      <w:b/>
      <w:bCs/>
      <w:color w:val="1B27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de Réservation Spa &amp; Salon — MVP</dc:title>
  <dc:creator>Consulting Team</dc:creator>
  <dc:description>Project scoping document</dc:description>
  <cp:lastModifiedBy>Un-named</cp:lastModifiedBy>
  <cp:revision>1</cp:revision>
  <dcterms:created xsi:type="dcterms:W3CDTF">2026-08-23T08:35:06.837Z</dcterms:created>
  <dcterms:modified xsi:type="dcterms:W3CDTF">2026-08-23T08:35:06.837Z</dcterms:modified>
</cp:coreProperties>
</file>

<file path=docProps/custom.xml><?xml version="1.0" encoding="utf-8"?>
<Properties xmlns="http://schemas.openxmlformats.org/officeDocument/2006/custom-properties" xmlns:vt="http://schemas.openxmlformats.org/officeDocument/2006/docPropsVTypes"/>
</file>