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Methods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association between the over dispersed count outcome with excess zeros and the different treatmen group as predictor of macrophages infection was determined using a zero-inflated negative binomial (ZINB) model (30).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ZINB model assumes that zero outcome is due to two different processes: in our model two processes are that a macrophages has been  infected with Leishmania  vs. has not been infected. If has not been infected, the only outcome possible is zero. If it has been infected  it is then a count process. The two parts of the a zero-inflated model are a binary model, usually a logit model to model which of the two processes the zero outcome is associated with and a count model, in this case, a negative binomial model, to model the count process. The expected count is expressed as a combination of the two processes. 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5492" w:type="dxa"/>
        <w:jc w:val="left"/>
        <w:tblInd w:w="0" w:type="dxa"/>
        <w:tblCellMar>
          <w:top w:w="113" w:type="dxa"/>
          <w:left w:w="0" w:type="dxa"/>
          <w:bottom w:w="0" w:type="dxa"/>
          <w:right w:w="0" w:type="dxa"/>
        </w:tblCellMar>
      </w:tblPr>
      <w:tblGrid>
        <w:gridCol w:w="2105"/>
        <w:gridCol w:w="1105"/>
        <w:gridCol w:w="1346"/>
        <w:gridCol w:w="781"/>
        <w:gridCol w:w="155"/>
      </w:tblGrid>
      <w:tr>
        <w:trPr/>
        <w:tc>
          <w:tcPr>
            <w:tcW w:w="2105" w:type="dxa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232" w:type="dxa"/>
            <w:gridSpan w:val="3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</w:rPr>
            </w:pPr>
            <w:bookmarkStart w:id="0" w:name="__DdeLink__175_4937983"/>
            <w:r>
              <w:rPr>
                <w:b/>
                <w:i w:val="false"/>
                <w:caps w:val="false"/>
                <w:smallCaps w:val="false"/>
              </w:rPr>
              <w:t xml:space="preserve">Outcome: n.of Leishmania </w:t>
            </w:r>
            <w:bookmarkEnd w:id="0"/>
          </w:p>
        </w:tc>
        <w:tc>
          <w:tcPr>
            <w:tcW w:w="155" w:type="dxa"/>
            <w:tcBorders>
              <w:top w:val="double" w:sz="2" w:space="0" w:color="000000"/>
            </w:tcBorders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left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105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  <w:t>Coefficent</w:t>
            </w:r>
          </w:p>
        </w:tc>
        <w:tc>
          <w:tcPr>
            <w:tcW w:w="1346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  <w:t>95%CI</w:t>
            </w:r>
          </w:p>
        </w:tc>
        <w:tc>
          <w:tcPr>
            <w:tcW w:w="781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  <w:t>p-value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492" w:type="dxa"/>
            <w:gridSpan w:val="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  <w:b/>
              </w:rPr>
            </w:pPr>
            <w:r>
              <w:rPr>
                <w:b/>
              </w:rPr>
              <w:t>Count Model (log-Mean)</w:t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0.48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0.27 – 0.69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rStyle w:val="Enfasiforte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b w:val="false"/>
                <w:bCs w:val="false"/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-0.11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-0.29 – 0.08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0.265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-0.88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-1.10 – -0.66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  <w:b w:val="false"/>
                <w:bCs w:val="false"/>
              </w:rPr>
              <w:t>&lt;0.001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[Anfotericina]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-1.27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-1.59 – -0.96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  <w:b w:val="false"/>
                <w:bCs w:val="false"/>
              </w:rPr>
              <w:t>&lt;0.001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37" w:type="dxa"/>
            <w:gridSpan w:val="4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  <w:b/>
              </w:rPr>
            </w:pPr>
            <w:r>
              <w:rPr>
                <w:b/>
              </w:rPr>
              <w:t>Zero-Inflated Model  (log-odds)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-2.12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-3.90 – -0.33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rStyle w:val="Enfasiforte"/>
              </w:rPr>
            </w:pPr>
            <w:r>
              <w:rPr/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0.90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-0.28 – 2.08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0.135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-0.79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-4.29 – 2.72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0.660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>
              <w:bottom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[Anfotericina]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1.12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-0.28 – 2.53</w:t>
            </w:r>
          </w:p>
        </w:tc>
        <w:tc>
          <w:tcPr>
            <w:tcW w:w="7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0.118</w:t>
            </w:r>
          </w:p>
        </w:tc>
        <w:tc>
          <w:tcPr>
            <w:tcW w:w="15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Interpretation: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Count model: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Respect to the control group ( macrophages exposed only to Leishmania)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 observed a “not significant” decrease  of mean number of Leishmania by 0.11  in AsaiapHM4 group, a “significant” decrease  of mean number of Leishmania by -0.88  in AsaiaWSP group  and finally  a “significant” decrease  of mean number of Leishmania by -1,27  in Amphotercin group. (panel A of fig)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Zero-inflation model: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Respect to the control group ( macrophages exposed only to Leishmania)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Odds Ratios  for macrophages to being among those who never are infected from Leishmania vs to being infectd  were not significant in all group of treatment. (Panel B  of fig.)</w:t>
      </w:r>
    </w:p>
    <w:p>
      <w:pPr>
        <w:pStyle w:val="Normal"/>
        <w:widowControl/>
        <w:ind w:left="0" w:right="0" w:hanging="0"/>
        <w:rPr/>
      </w:pPr>
      <w:r>
        <w:rPr/>
        <w:t>ZINB a 24h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/>
      </w:pPr>
      <w:r>
        <w:rPr/>
      </w:r>
    </w:p>
    <w:tbl>
      <w:tblPr>
        <w:tblW w:w="5488" w:type="dxa"/>
        <w:jc w:val="left"/>
        <w:tblInd w:w="0" w:type="dxa"/>
        <w:tblCellMar>
          <w:top w:w="113" w:type="dxa"/>
          <w:left w:w="0" w:type="dxa"/>
          <w:bottom w:w="0" w:type="dxa"/>
          <w:right w:w="0" w:type="dxa"/>
        </w:tblCellMar>
      </w:tblPr>
      <w:tblGrid>
        <w:gridCol w:w="2081"/>
        <w:gridCol w:w="1106"/>
        <w:gridCol w:w="1356"/>
        <w:gridCol w:w="783"/>
        <w:gridCol w:w="162"/>
      </w:tblGrid>
      <w:tr>
        <w:trPr/>
        <w:tc>
          <w:tcPr>
            <w:tcW w:w="2081" w:type="dxa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245" w:type="dxa"/>
            <w:gridSpan w:val="3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 xml:space="preserve">Outcome: n.of Leishmania 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106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Log-Mean</w:t>
            </w:r>
          </w:p>
        </w:tc>
        <w:tc>
          <w:tcPr>
            <w:tcW w:w="1356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95%CI</w:t>
            </w:r>
          </w:p>
        </w:tc>
        <w:tc>
          <w:tcPr>
            <w:tcW w:w="783" w:type="dxa"/>
            <w:tcBorders>
              <w:bottom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488" w:type="dxa"/>
            <w:gridSpan w:val="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</w:rPr>
            </w:pPr>
            <w:r>
              <w:rPr>
                <w:b/>
              </w:rPr>
              <w:t xml:space="preserve">Count Model </w:t>
            </w:r>
            <w:r>
              <w:rPr>
                <w:b/>
              </w:rPr>
              <w:t>(log-Mean)</w:t>
            </w:r>
          </w:p>
        </w:tc>
      </w:tr>
      <w:tr>
        <w:trPr/>
        <w:tc>
          <w:tcPr>
            <w:tcW w:w="20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0.66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0.52 – 0.81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</w:rPr>
              <w:t>&lt;0.001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-0.04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-0.20 – 0.12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0.601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-0.14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-0.31 – 0.02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0.080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26" w:type="dxa"/>
            <w:gridSpan w:val="4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</w:rPr>
            </w:pPr>
            <w:r>
              <w:rPr>
                <w:b/>
              </w:rPr>
              <w:t xml:space="preserve">Zero-Inflated Model </w:t>
            </w:r>
            <w:r>
              <w:rPr>
                <w:b/>
              </w:rPr>
              <w:t xml:space="preserve"> (log-</w:t>
            </w:r>
            <w:r>
              <w:rPr>
                <w:b/>
              </w:rPr>
              <w:t>O</w:t>
            </w:r>
            <w:r>
              <w:rPr>
                <w:b/>
              </w:rPr>
              <w:t>dds)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-1.32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-1.87 – -0.78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</w:rPr>
              <w:t>&lt;0.001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0.28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-0.18 – 0.75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0.230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081" w:type="dxa"/>
            <w:tcBorders>
              <w:bottom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0.22</w:t>
            </w:r>
          </w:p>
        </w:tc>
        <w:tc>
          <w:tcPr>
            <w:tcW w:w="135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-0.26 – 0.70</w:t>
            </w:r>
          </w:p>
        </w:tc>
        <w:tc>
          <w:tcPr>
            <w:tcW w:w="783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0.365</w:t>
            </w:r>
          </w:p>
        </w:tc>
        <w:tc>
          <w:tcPr>
            <w:tcW w:w="162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widowControl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it-IT" w:eastAsia="zh-CN" w:bidi="hi-IN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LibreOffice/6.3.5.2$Linux_X86_64 LibreOffice_project/30$Build-2</Application>
  <Pages>2</Pages>
  <Words>356</Words>
  <Characters>1937</Characters>
  <CharactersWithSpaces>2254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2020-04-10T10:37:51Z</dcterms:created>
  <dc:creator/>
  <dc:description/>
  <dc:language>it-IT</dc:language>
  <cp:lastModifiedBy/>
  <dcterms:modified xsi:type="dcterms:W3CDTF">2020-05-15T15:47:23Z</dcterms:modified>
  <cp:revision>8</cp:revision>
  <dc:subject/>
  <dc:title/>
</cp:coreProperties>
</file>