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26D86A" w14:textId="3831CE3A" w:rsidR="00296F6F" w:rsidRPr="00F1329C" w:rsidRDefault="00296F6F" w:rsidP="00F1329C">
      <w:pPr>
        <w:rPr>
          <w:bCs/>
          <w:color w:val="000000" w:themeColor="text1"/>
        </w:rPr>
      </w:pPr>
      <w:bookmarkStart w:id="0" w:name="_GoBack"/>
      <w:bookmarkEnd w:id="0"/>
      <w:r w:rsidRPr="00296F6F">
        <w:t>TITL</w:t>
      </w:r>
      <w:r>
        <w:t xml:space="preserve">E: </w:t>
      </w:r>
      <w:r w:rsidR="00E72198">
        <w:t>ASSOCIATION</w:t>
      </w:r>
      <w:r w:rsidR="00DB183D">
        <w:t xml:space="preserve"> OF VACCINATION </w:t>
      </w:r>
      <w:r w:rsidR="00E72198">
        <w:t xml:space="preserve">AND </w:t>
      </w:r>
      <w:r w:rsidR="00DB183D">
        <w:t>MENINGOENCEPHALITIS OF UNKNOWN ORIGIN</w:t>
      </w:r>
    </w:p>
    <w:p w14:paraId="37A58459" w14:textId="77777777" w:rsidR="0010501F" w:rsidRPr="00DB183D" w:rsidRDefault="00296F6F" w:rsidP="0010501F">
      <w:pPr>
        <w:spacing w:before="0" w:after="0"/>
        <w:rPr>
          <w:rFonts w:cs="Times New Roman"/>
          <w:b/>
          <w:bCs/>
          <w:szCs w:val="24"/>
          <w:lang w:val="es-ES"/>
        </w:rPr>
      </w:pPr>
      <w:r w:rsidRPr="00DB183D">
        <w:rPr>
          <w:b/>
          <w:bCs/>
          <w:lang w:val="es-ES"/>
        </w:rPr>
        <w:t>Lucia Vicens Zanoguera</w:t>
      </w:r>
      <w:r w:rsidRPr="00DB183D">
        <w:rPr>
          <w:b/>
          <w:bCs/>
          <w:vertAlign w:val="superscript"/>
          <w:lang w:val="es-ES"/>
        </w:rPr>
        <w:t>1*</w:t>
      </w:r>
      <w:r w:rsidR="002868E2" w:rsidRPr="00DB183D">
        <w:rPr>
          <w:b/>
          <w:bCs/>
          <w:lang w:val="es-ES"/>
        </w:rPr>
        <w:t xml:space="preserve">, </w:t>
      </w:r>
      <w:r w:rsidRPr="00DB183D">
        <w:rPr>
          <w:b/>
          <w:bCs/>
          <w:lang w:val="es-ES"/>
        </w:rPr>
        <w:t>Luca Motta</w:t>
      </w:r>
      <w:r w:rsidRPr="00DB183D">
        <w:rPr>
          <w:b/>
          <w:bCs/>
          <w:vertAlign w:val="superscript"/>
          <w:lang w:val="es-ES"/>
        </w:rPr>
        <w:t>1</w:t>
      </w:r>
      <w:r w:rsidRPr="00DB183D">
        <w:rPr>
          <w:b/>
          <w:bCs/>
          <w:lang w:val="es-ES"/>
        </w:rPr>
        <w:t xml:space="preserve"> ,Mark Rishniw</w:t>
      </w:r>
      <w:r w:rsidR="0010501F" w:rsidRPr="00DB183D">
        <w:rPr>
          <w:rFonts w:cs="Times New Roman"/>
          <w:b/>
          <w:bCs/>
          <w:szCs w:val="24"/>
          <w:lang w:val="es-ES"/>
        </w:rPr>
        <w:t>(†)</w:t>
      </w:r>
      <w:r w:rsidR="0010501F" w:rsidRPr="00DB183D">
        <w:rPr>
          <w:b/>
          <w:bCs/>
          <w:lang w:val="es-ES"/>
        </w:rPr>
        <w:t xml:space="preserve"> </w:t>
      </w:r>
      <w:r w:rsidRPr="00DB183D">
        <w:rPr>
          <w:b/>
          <w:bCs/>
          <w:lang w:val="es-ES"/>
        </w:rPr>
        <w:t xml:space="preserve"> ,</w:t>
      </w:r>
      <w:r w:rsidRPr="00DB183D">
        <w:rPr>
          <w:b/>
          <w:bCs/>
          <w:vertAlign w:val="superscript"/>
          <w:lang w:val="es-ES"/>
        </w:rPr>
        <w:t>2</w:t>
      </w:r>
      <w:r w:rsidRPr="00DB183D">
        <w:rPr>
          <w:b/>
          <w:bCs/>
          <w:lang w:val="es-ES"/>
        </w:rPr>
        <w:t>Patrick C. Carney</w:t>
      </w:r>
      <w:r w:rsidR="0010501F" w:rsidRPr="00DB183D">
        <w:rPr>
          <w:rFonts w:cs="Times New Roman"/>
          <w:b/>
          <w:bCs/>
          <w:szCs w:val="24"/>
          <w:lang w:val="es-ES"/>
        </w:rPr>
        <w:t>(†)</w:t>
      </w:r>
    </w:p>
    <w:p w14:paraId="7526D714" w14:textId="63D32D76" w:rsidR="00296F6F" w:rsidRPr="008B2972" w:rsidRDefault="00296F6F" w:rsidP="0010501F">
      <w:pPr>
        <w:spacing w:before="0" w:after="0"/>
        <w:rPr>
          <w:rFonts w:cs="Times New Roman"/>
          <w:b/>
          <w:bCs/>
          <w:szCs w:val="24"/>
          <w:lang w:val="en-GB"/>
        </w:rPr>
      </w:pPr>
      <w:proofErr w:type="gramStart"/>
      <w:r w:rsidRPr="0010501F">
        <w:rPr>
          <w:b/>
          <w:bCs/>
          <w:vertAlign w:val="superscript"/>
        </w:rPr>
        <w:t>2</w:t>
      </w:r>
      <w:r w:rsidRPr="0010501F">
        <w:rPr>
          <w:b/>
          <w:bCs/>
        </w:rPr>
        <w:t>,William</w:t>
      </w:r>
      <w:proofErr w:type="gramEnd"/>
      <w:r w:rsidRPr="0010501F">
        <w:rPr>
          <w:b/>
          <w:bCs/>
        </w:rPr>
        <w:t xml:space="preserve"> Thomas </w:t>
      </w:r>
      <w:r w:rsidRPr="0010501F">
        <w:rPr>
          <w:b/>
          <w:bCs/>
          <w:vertAlign w:val="superscript"/>
        </w:rPr>
        <w:t>3</w:t>
      </w:r>
      <w:r w:rsidRPr="0010501F">
        <w:rPr>
          <w:b/>
          <w:bCs/>
        </w:rPr>
        <w:t xml:space="preserve">,Lorenzo </w:t>
      </w:r>
      <w:proofErr w:type="spellStart"/>
      <w:r w:rsidRPr="0010501F">
        <w:rPr>
          <w:b/>
          <w:bCs/>
        </w:rPr>
        <w:t>Golini</w:t>
      </w:r>
      <w:proofErr w:type="spellEnd"/>
      <w:r w:rsidRPr="0010501F">
        <w:rPr>
          <w:b/>
          <w:bCs/>
        </w:rPr>
        <w:t xml:space="preserve"> </w:t>
      </w:r>
      <w:r w:rsidRPr="0010501F">
        <w:rPr>
          <w:b/>
          <w:bCs/>
          <w:vertAlign w:val="superscript"/>
        </w:rPr>
        <w:t>4</w:t>
      </w:r>
    </w:p>
    <w:p w14:paraId="7CE84111" w14:textId="77777777" w:rsidR="00296F6F" w:rsidRDefault="00296F6F" w:rsidP="00AA5933">
      <w:pPr>
        <w:spacing w:after="120"/>
      </w:pPr>
      <w:r w:rsidRPr="00AA5933">
        <w:rPr>
          <w:b/>
          <w:bCs/>
          <w:color w:val="000000" w:themeColor="text1"/>
          <w:vertAlign w:val="superscript"/>
        </w:rPr>
        <w:t>1</w:t>
      </w:r>
      <w:r w:rsidRPr="00FF2432">
        <w:t>Northwest Veterinary Specialists. Delamere house,</w:t>
      </w:r>
      <w:r>
        <w:t xml:space="preserve"> </w:t>
      </w:r>
      <w:r w:rsidRPr="00FF2432">
        <w:t>Ashvil</w:t>
      </w:r>
      <w:r>
        <w:t>l</w:t>
      </w:r>
      <w:r w:rsidRPr="00FF2432">
        <w:t xml:space="preserve">e Point, Sutton Weaver, </w:t>
      </w:r>
      <w:proofErr w:type="spellStart"/>
      <w:r w:rsidRPr="00FF2432">
        <w:t>Runcorn</w:t>
      </w:r>
      <w:proofErr w:type="spellEnd"/>
      <w:r w:rsidRPr="00FF2432">
        <w:t xml:space="preserve"> WA73FW</w:t>
      </w:r>
      <w:r>
        <w:t xml:space="preserve"> </w:t>
      </w:r>
      <w:r w:rsidRPr="00FF2432">
        <w:t>United Kingdom</w:t>
      </w:r>
    </w:p>
    <w:p w14:paraId="310B2D1D" w14:textId="56F7D662" w:rsidR="00296F6F" w:rsidRPr="001351D3" w:rsidRDefault="00296F6F" w:rsidP="00AA5933">
      <w:pPr>
        <w:spacing w:after="120"/>
      </w:pPr>
      <w:r w:rsidRPr="001351D3">
        <w:rPr>
          <w:vertAlign w:val="superscript"/>
        </w:rPr>
        <w:t>2</w:t>
      </w:r>
      <w:r w:rsidRPr="001351D3" w:rsidDel="00AA4932">
        <w:t xml:space="preserve"> </w:t>
      </w:r>
      <w:r>
        <w:t>Department of Clinical Sciences, College of Veterinary Medicine, Cornell University, Ithaca NY 14954 United States of America</w:t>
      </w:r>
    </w:p>
    <w:p w14:paraId="14CE8A2E" w14:textId="77777777" w:rsidR="00296F6F" w:rsidRDefault="00296F6F" w:rsidP="00AA5933">
      <w:pPr>
        <w:spacing w:after="120"/>
      </w:pPr>
      <w:r w:rsidRPr="00AA4932">
        <w:rPr>
          <w:vertAlign w:val="superscript"/>
        </w:rPr>
        <w:t>3</w:t>
      </w:r>
      <w:r w:rsidRPr="001351D3">
        <w:t xml:space="preserve"> </w:t>
      </w:r>
      <w:r w:rsidRPr="00296F6F">
        <w:rPr>
          <w:rFonts w:cs="Times New Roman"/>
          <w:szCs w:val="24"/>
        </w:rPr>
        <w:t>The College of Veterinary Medicine, University of Tennessee, 2407 River Drive, Knoxville, TN 37996</w:t>
      </w:r>
    </w:p>
    <w:p w14:paraId="259A6FF7" w14:textId="12AD2B51" w:rsidR="0010501F" w:rsidRPr="00296F6F" w:rsidRDefault="00296F6F" w:rsidP="00AA5933">
      <w:pPr>
        <w:spacing w:after="120"/>
        <w:rPr>
          <w:rFonts w:cs="Times New Roman"/>
          <w:szCs w:val="24"/>
          <w:lang w:val="es-ES"/>
        </w:rPr>
      </w:pPr>
      <w:r w:rsidRPr="00296F6F">
        <w:rPr>
          <w:color w:val="000000" w:themeColor="text1"/>
          <w:vertAlign w:val="superscript"/>
          <w:lang w:val="es-ES"/>
        </w:rPr>
        <w:t>4</w:t>
      </w:r>
      <w:r w:rsidRPr="00296F6F">
        <w:rPr>
          <w:lang w:val="es-ES"/>
        </w:rPr>
        <w:t xml:space="preserve"> </w:t>
      </w:r>
      <w:r w:rsidRPr="00296F6F">
        <w:rPr>
          <w:rFonts w:cs="Times New Roman"/>
          <w:szCs w:val="24"/>
          <w:lang w:val="es-ES"/>
        </w:rPr>
        <w:t>Anguillara Sabazia, Roma, Italy</w:t>
      </w:r>
      <w:r w:rsidRPr="00296F6F" w:rsidDel="00AA4932">
        <w:rPr>
          <w:rFonts w:cs="Times New Roman"/>
          <w:szCs w:val="24"/>
          <w:lang w:val="es-ES"/>
        </w:rPr>
        <w:t xml:space="preserve"> </w:t>
      </w:r>
    </w:p>
    <w:p w14:paraId="67430522" w14:textId="61EB13B0" w:rsidR="003F14AA" w:rsidRPr="003F14AA" w:rsidRDefault="002868E2" w:rsidP="003F14AA">
      <w:pPr>
        <w:rPr>
          <w:rFonts w:cs="Times New Roman"/>
          <w:szCs w:val="24"/>
          <w:lang w:val="es-ES"/>
        </w:rPr>
      </w:pPr>
      <w:r w:rsidRPr="00296F6F">
        <w:rPr>
          <w:rFonts w:cs="Times New Roman"/>
          <w:b/>
          <w:szCs w:val="24"/>
          <w:lang w:val="es-ES"/>
        </w:rPr>
        <w:t xml:space="preserve">* Correspondence: </w:t>
      </w:r>
      <w:r w:rsidR="00671D9A" w:rsidRPr="00296F6F">
        <w:rPr>
          <w:rFonts w:cs="Times New Roman"/>
          <w:b/>
          <w:szCs w:val="24"/>
          <w:lang w:val="es-ES"/>
        </w:rPr>
        <w:br/>
      </w:r>
      <w:r w:rsidR="00296F6F" w:rsidRPr="00296F6F">
        <w:rPr>
          <w:rFonts w:cs="Times New Roman"/>
          <w:szCs w:val="24"/>
          <w:lang w:val="es-ES"/>
        </w:rPr>
        <w:t xml:space="preserve">Lucia </w:t>
      </w:r>
      <w:r w:rsidR="00296F6F">
        <w:rPr>
          <w:rFonts w:cs="Times New Roman"/>
          <w:szCs w:val="24"/>
          <w:lang w:val="es-ES"/>
        </w:rPr>
        <w:t>Vicens Zanoguera</w:t>
      </w:r>
      <w:r w:rsidR="00671D9A" w:rsidRPr="00296F6F">
        <w:rPr>
          <w:rFonts w:cs="Times New Roman"/>
          <w:szCs w:val="24"/>
          <w:lang w:val="es-ES"/>
        </w:rPr>
        <w:br/>
      </w:r>
      <w:hyperlink r:id="rId8" w:history="1">
        <w:r w:rsidR="003F14AA" w:rsidRPr="008C061F">
          <w:rPr>
            <w:rStyle w:val="Collegamentoipertestuale"/>
            <w:rFonts w:cs="Times New Roman"/>
            <w:szCs w:val="24"/>
            <w:lang w:val="es-ES"/>
          </w:rPr>
          <w:t>L.Zanoguera@linneausgroup.com</w:t>
        </w:r>
      </w:hyperlink>
    </w:p>
    <w:p w14:paraId="5E40C449" w14:textId="7FED9C16" w:rsidR="003F14AA" w:rsidRDefault="003F14AA" w:rsidP="003F14AA">
      <w:pPr>
        <w:spacing w:before="0" w:after="0"/>
        <w:rPr>
          <w:lang w:val="en-GB"/>
        </w:rPr>
      </w:pPr>
      <w:r w:rsidRPr="0010501F">
        <w:rPr>
          <w:rFonts w:cs="Times New Roman"/>
          <w:b/>
          <w:szCs w:val="24"/>
        </w:rPr>
        <w:t>(</w:t>
      </w:r>
      <w:proofErr w:type="gramStart"/>
      <w:r w:rsidRPr="0010501F">
        <w:rPr>
          <w:rFonts w:cs="Times New Roman"/>
          <w:b/>
          <w:szCs w:val="24"/>
        </w:rPr>
        <w:t>†)</w:t>
      </w:r>
      <w:r>
        <w:rPr>
          <w:lang w:val="en-GB"/>
        </w:rPr>
        <w:t>These</w:t>
      </w:r>
      <w:proofErr w:type="gramEnd"/>
      <w:r>
        <w:rPr>
          <w:lang w:val="en-GB"/>
        </w:rPr>
        <w:t xml:space="preserve"> authors have equally contributed to these work and share authorship.</w:t>
      </w:r>
    </w:p>
    <w:p w14:paraId="675F5B0F" w14:textId="77777777" w:rsidR="003F14AA" w:rsidRPr="003F14AA" w:rsidRDefault="003F14AA" w:rsidP="003F14AA">
      <w:pPr>
        <w:spacing w:before="0" w:after="0"/>
        <w:rPr>
          <w:lang w:val="en-GB"/>
        </w:rPr>
      </w:pPr>
    </w:p>
    <w:p w14:paraId="688EE9ED" w14:textId="5989EC0E" w:rsidR="00EA3D3C" w:rsidRDefault="00817DD6" w:rsidP="00AA5933">
      <w:pPr>
        <w:rPr>
          <w:rFonts w:cs="Times New Roman"/>
          <w:b/>
          <w:szCs w:val="24"/>
        </w:rPr>
      </w:pPr>
      <w:r w:rsidRPr="00296F6F">
        <w:rPr>
          <w:rFonts w:cs="Times New Roman"/>
          <w:b/>
          <w:szCs w:val="24"/>
        </w:rPr>
        <w:t xml:space="preserve">Keywords: </w:t>
      </w:r>
      <w:r w:rsidR="00296F6F" w:rsidRPr="00296F6F">
        <w:rPr>
          <w:rFonts w:cs="Times New Roman"/>
          <w:b/>
          <w:szCs w:val="24"/>
        </w:rPr>
        <w:t>Meningoencephalitis of unknown origin</w:t>
      </w:r>
      <w:r w:rsidR="00296F6F">
        <w:rPr>
          <w:rFonts w:cs="Times New Roman"/>
          <w:b/>
          <w:szCs w:val="24"/>
        </w:rPr>
        <w:t>, Vaccine, Autoi</w:t>
      </w:r>
      <w:r w:rsidR="007225D0">
        <w:rPr>
          <w:rFonts w:cs="Times New Roman"/>
          <w:b/>
          <w:szCs w:val="24"/>
        </w:rPr>
        <w:t>m</w:t>
      </w:r>
      <w:r w:rsidR="00296F6F">
        <w:rPr>
          <w:rFonts w:cs="Times New Roman"/>
          <w:b/>
          <w:szCs w:val="24"/>
        </w:rPr>
        <w:t>munization, Inflammation,</w:t>
      </w:r>
      <w:r w:rsidR="00AA5933">
        <w:rPr>
          <w:rFonts w:cs="Times New Roman"/>
          <w:b/>
          <w:szCs w:val="24"/>
        </w:rPr>
        <w:t xml:space="preserve"> Immune system</w:t>
      </w:r>
    </w:p>
    <w:p w14:paraId="4CC42481" w14:textId="1B31BCDD" w:rsidR="008B2972" w:rsidRPr="008B2972" w:rsidRDefault="008B2972" w:rsidP="00AA5933">
      <w:pPr>
        <w:rPr>
          <w:rFonts w:cs="Times New Roman"/>
          <w:bCs/>
          <w:szCs w:val="24"/>
        </w:rPr>
      </w:pPr>
      <w:r w:rsidRPr="008B2972">
        <w:rPr>
          <w:rFonts w:cs="Times New Roman"/>
          <w:bCs/>
          <w:szCs w:val="24"/>
        </w:rPr>
        <w:t xml:space="preserve">The article is formatted in British </w:t>
      </w:r>
      <w:r w:rsidR="007225D0">
        <w:rPr>
          <w:rFonts w:cs="Times New Roman"/>
          <w:bCs/>
          <w:szCs w:val="24"/>
        </w:rPr>
        <w:t>E</w:t>
      </w:r>
      <w:r w:rsidRPr="008B2972">
        <w:rPr>
          <w:rFonts w:cs="Times New Roman"/>
          <w:bCs/>
          <w:szCs w:val="24"/>
        </w:rPr>
        <w:t>nglish</w:t>
      </w:r>
    </w:p>
    <w:p w14:paraId="4DB10602" w14:textId="77777777" w:rsidR="008E2B54" w:rsidRPr="00376CC5" w:rsidRDefault="00EA3D3C" w:rsidP="00AA5933">
      <w:pPr>
        <w:pStyle w:val="AuthorList"/>
        <w:contextualSpacing/>
      </w:pPr>
      <w:r w:rsidRPr="00376CC5">
        <w:t>Abstract</w:t>
      </w:r>
    </w:p>
    <w:p w14:paraId="20E4AF04" w14:textId="77777777" w:rsidR="00AA5933" w:rsidRDefault="00AA5933" w:rsidP="00AA5933">
      <w:pPr>
        <w:spacing w:after="120"/>
        <w:contextualSpacing/>
        <w:jc w:val="both"/>
        <w:rPr>
          <w:color w:val="000000" w:themeColor="text1"/>
          <w:u w:val="single"/>
        </w:rPr>
      </w:pPr>
      <w:r w:rsidRPr="00E718A2">
        <w:rPr>
          <w:color w:val="000000" w:themeColor="text1"/>
          <w:u w:val="single"/>
        </w:rPr>
        <w:t>Background</w:t>
      </w:r>
    </w:p>
    <w:p w14:paraId="001AFFED" w14:textId="77777777" w:rsidR="00AA5933" w:rsidRPr="00E718A2" w:rsidRDefault="00AA5933" w:rsidP="00AA5933">
      <w:pPr>
        <w:spacing w:after="120"/>
        <w:contextualSpacing/>
        <w:jc w:val="both"/>
        <w:rPr>
          <w:color w:val="000000" w:themeColor="text1"/>
        </w:rPr>
      </w:pPr>
      <w:r w:rsidRPr="00E718A2">
        <w:rPr>
          <w:color w:val="000000" w:themeColor="text1"/>
        </w:rPr>
        <w:t>Meningoencephalitis of unknown origin</w:t>
      </w:r>
      <w:r>
        <w:rPr>
          <w:color w:val="000000" w:themeColor="text1"/>
        </w:rPr>
        <w:t xml:space="preserve"> </w:t>
      </w:r>
      <w:r w:rsidRPr="00E718A2">
        <w:rPr>
          <w:color w:val="000000" w:themeColor="text1"/>
        </w:rPr>
        <w:t>(MUO) is a</w:t>
      </w:r>
      <w:r>
        <w:rPr>
          <w:color w:val="000000" w:themeColor="text1"/>
        </w:rPr>
        <w:t>n umbrella</w:t>
      </w:r>
      <w:r w:rsidRPr="00E718A2">
        <w:rPr>
          <w:color w:val="000000" w:themeColor="text1"/>
        </w:rPr>
        <w:t xml:space="preserve"> term used to</w:t>
      </w:r>
      <w:r>
        <w:rPr>
          <w:color w:val="000000" w:themeColor="text1"/>
        </w:rPr>
        <w:t xml:space="preserve"> refer to</w:t>
      </w:r>
      <w:r w:rsidRPr="00E718A2">
        <w:rPr>
          <w:color w:val="000000" w:themeColor="text1"/>
        </w:rPr>
        <w:t xml:space="preserve"> different types of non-infectious meni</w:t>
      </w:r>
      <w:r>
        <w:rPr>
          <w:color w:val="000000" w:themeColor="text1"/>
        </w:rPr>
        <w:t>n</w:t>
      </w:r>
      <w:r w:rsidRPr="00E718A2">
        <w:rPr>
          <w:color w:val="000000" w:themeColor="text1"/>
        </w:rPr>
        <w:t>goence</w:t>
      </w:r>
      <w:r>
        <w:rPr>
          <w:color w:val="000000" w:themeColor="text1"/>
        </w:rPr>
        <w:t>phalitis. The</w:t>
      </w:r>
      <w:r w:rsidRPr="00E718A2">
        <w:rPr>
          <w:color w:val="000000" w:themeColor="text1"/>
        </w:rPr>
        <w:t xml:space="preserve"> </w:t>
      </w:r>
      <w:r>
        <w:rPr>
          <w:color w:val="000000" w:themeColor="text1"/>
        </w:rPr>
        <w:t>etiology</w:t>
      </w:r>
      <w:r w:rsidRPr="00E718A2">
        <w:rPr>
          <w:color w:val="000000" w:themeColor="text1"/>
        </w:rPr>
        <w:t xml:space="preserve"> </w:t>
      </w:r>
      <w:r>
        <w:rPr>
          <w:color w:val="000000" w:themeColor="text1"/>
        </w:rPr>
        <w:t>remains unknown. The</w:t>
      </w:r>
      <w:r w:rsidRPr="00E718A2">
        <w:rPr>
          <w:color w:val="000000" w:themeColor="text1"/>
        </w:rPr>
        <w:t xml:space="preserve"> clinical response to immunosuppressive therapy has supported</w:t>
      </w:r>
      <w:r>
        <w:rPr>
          <w:color w:val="000000" w:themeColor="text1"/>
        </w:rPr>
        <w:t xml:space="preserve"> a</w:t>
      </w:r>
      <w:r w:rsidRPr="00E718A2">
        <w:rPr>
          <w:color w:val="000000" w:themeColor="text1"/>
        </w:rPr>
        <w:t xml:space="preserve"> </w:t>
      </w:r>
      <w:r>
        <w:rPr>
          <w:color w:val="000000" w:themeColor="text1"/>
        </w:rPr>
        <w:t xml:space="preserve">dysregulation of the </w:t>
      </w:r>
      <w:r w:rsidRPr="00E718A2">
        <w:rPr>
          <w:color w:val="000000" w:themeColor="text1"/>
        </w:rPr>
        <w:t xml:space="preserve">immunologic response as one of the possible </w:t>
      </w:r>
      <w:r>
        <w:rPr>
          <w:color w:val="000000" w:themeColor="text1"/>
        </w:rPr>
        <w:t>main</w:t>
      </w:r>
      <w:r w:rsidRPr="00E718A2">
        <w:rPr>
          <w:color w:val="000000" w:themeColor="text1"/>
        </w:rPr>
        <w:t xml:space="preserve"> </w:t>
      </w:r>
      <w:r>
        <w:rPr>
          <w:color w:val="000000" w:themeColor="text1"/>
        </w:rPr>
        <w:t>factors</w:t>
      </w:r>
      <w:r w:rsidRPr="00E718A2">
        <w:rPr>
          <w:color w:val="000000" w:themeColor="text1"/>
        </w:rPr>
        <w:t xml:space="preserve"> i</w:t>
      </w:r>
      <w:r>
        <w:rPr>
          <w:color w:val="000000" w:themeColor="text1"/>
        </w:rPr>
        <w:t>nducing</w:t>
      </w:r>
      <w:r w:rsidRPr="00E718A2">
        <w:rPr>
          <w:color w:val="000000" w:themeColor="text1"/>
        </w:rPr>
        <w:t xml:space="preserve"> this disease</w:t>
      </w:r>
      <w:r>
        <w:rPr>
          <w:color w:val="000000" w:themeColor="text1"/>
        </w:rPr>
        <w:t>.</w:t>
      </w:r>
    </w:p>
    <w:p w14:paraId="26D8E7EA" w14:textId="77777777" w:rsidR="00AA5933" w:rsidRPr="00E718A2" w:rsidRDefault="00AA5933" w:rsidP="00AA5933">
      <w:pPr>
        <w:spacing w:after="120"/>
        <w:contextualSpacing/>
        <w:jc w:val="both"/>
        <w:rPr>
          <w:color w:val="000000" w:themeColor="text1"/>
          <w:u w:val="single"/>
        </w:rPr>
      </w:pPr>
      <w:r w:rsidRPr="00E718A2">
        <w:rPr>
          <w:color w:val="000000" w:themeColor="text1"/>
          <w:u w:val="single"/>
        </w:rPr>
        <w:t>Hypothesis/objectives</w:t>
      </w:r>
    </w:p>
    <w:p w14:paraId="6A45B40E" w14:textId="77777777" w:rsidR="00AA5933" w:rsidRDefault="00AA5933" w:rsidP="00AA5933">
      <w:pPr>
        <w:spacing w:after="120"/>
        <w:contextualSpacing/>
        <w:jc w:val="both"/>
        <w:rPr>
          <w:color w:val="000000" w:themeColor="text1"/>
        </w:rPr>
      </w:pPr>
      <w:r>
        <w:rPr>
          <w:color w:val="000000" w:themeColor="text1"/>
        </w:rPr>
        <w:t>The aim of this study was to assess the risk of developing MUO after vaccination.</w:t>
      </w:r>
    </w:p>
    <w:p w14:paraId="0F196038" w14:textId="77777777" w:rsidR="00AA5933" w:rsidRDefault="00AA5933" w:rsidP="00AA5933">
      <w:pPr>
        <w:spacing w:after="120"/>
        <w:contextualSpacing/>
        <w:jc w:val="both"/>
        <w:rPr>
          <w:color w:val="000000" w:themeColor="text1"/>
          <w:u w:val="single"/>
        </w:rPr>
      </w:pPr>
      <w:r w:rsidRPr="00E718A2">
        <w:rPr>
          <w:color w:val="000000" w:themeColor="text1"/>
          <w:u w:val="single"/>
        </w:rPr>
        <w:t>Animals</w:t>
      </w:r>
    </w:p>
    <w:p w14:paraId="5B8D03BB" w14:textId="77777777" w:rsidR="00AA5933" w:rsidRPr="00E718A2" w:rsidRDefault="00AA5933" w:rsidP="00AA5933">
      <w:pPr>
        <w:spacing w:after="120"/>
        <w:contextualSpacing/>
        <w:jc w:val="both"/>
        <w:rPr>
          <w:color w:val="000000" w:themeColor="text1"/>
        </w:rPr>
      </w:pPr>
      <w:r>
        <w:rPr>
          <w:color w:val="000000" w:themeColor="text1"/>
        </w:rPr>
        <w:t>Fifty-six</w:t>
      </w:r>
      <w:r w:rsidRPr="00B279B1">
        <w:rPr>
          <w:color w:val="000000" w:themeColor="text1"/>
        </w:rPr>
        <w:t xml:space="preserve"> </w:t>
      </w:r>
      <w:r>
        <w:rPr>
          <w:color w:val="000000" w:themeColor="text1"/>
        </w:rPr>
        <w:t>canine patients from Northwest Veterinary Specialists and University of Tennessee were included in this retrospective study.</w:t>
      </w:r>
    </w:p>
    <w:p w14:paraId="4BD51066" w14:textId="77777777" w:rsidR="00AA5933" w:rsidRDefault="00AA5933" w:rsidP="00AA5933">
      <w:pPr>
        <w:spacing w:after="120"/>
        <w:contextualSpacing/>
        <w:jc w:val="both"/>
        <w:rPr>
          <w:color w:val="000000" w:themeColor="text1"/>
          <w:u w:val="single"/>
        </w:rPr>
      </w:pPr>
      <w:r>
        <w:rPr>
          <w:color w:val="000000" w:themeColor="text1"/>
          <w:u w:val="single"/>
        </w:rPr>
        <w:t xml:space="preserve">Material and </w:t>
      </w:r>
      <w:r w:rsidRPr="00E718A2">
        <w:rPr>
          <w:color w:val="000000" w:themeColor="text1"/>
          <w:u w:val="single"/>
        </w:rPr>
        <w:t>Methods</w:t>
      </w:r>
    </w:p>
    <w:p w14:paraId="47E2EF5F" w14:textId="6E8B262E" w:rsidR="00AA5933" w:rsidRPr="00FF5579" w:rsidRDefault="00AA5933" w:rsidP="00AA5933">
      <w:pPr>
        <w:spacing w:after="120"/>
        <w:contextualSpacing/>
        <w:jc w:val="both"/>
        <w:rPr>
          <w:color w:val="000000" w:themeColor="text1"/>
        </w:rPr>
      </w:pPr>
      <w:r w:rsidRPr="00FF5579">
        <w:rPr>
          <w:color w:val="000000" w:themeColor="text1"/>
        </w:rPr>
        <w:t xml:space="preserve">A retrospective study </w:t>
      </w:r>
      <w:r>
        <w:rPr>
          <w:color w:val="000000" w:themeColor="text1"/>
        </w:rPr>
        <w:t xml:space="preserve">of medical records of dogs with clinical history, neurological examination, </w:t>
      </w:r>
      <w:r w:rsidRPr="00FF5579">
        <w:rPr>
          <w:color w:val="000000" w:themeColor="text1"/>
        </w:rPr>
        <w:t xml:space="preserve">imaging and cerebrospinal fluid </w:t>
      </w:r>
      <w:r>
        <w:rPr>
          <w:color w:val="000000" w:themeColor="text1"/>
        </w:rPr>
        <w:t>analysis findings compatible with MUO</w:t>
      </w:r>
      <w:r w:rsidRPr="00FF5579">
        <w:rPr>
          <w:color w:val="000000" w:themeColor="text1"/>
        </w:rPr>
        <w:t xml:space="preserve"> </w:t>
      </w:r>
      <w:r>
        <w:rPr>
          <w:color w:val="000000" w:themeColor="text1"/>
        </w:rPr>
        <w:t>was performed</w:t>
      </w:r>
      <w:r w:rsidRPr="00FF5579">
        <w:rPr>
          <w:color w:val="000000" w:themeColor="text1"/>
        </w:rPr>
        <w:t>.</w:t>
      </w:r>
      <w:r>
        <w:rPr>
          <w:color w:val="000000" w:themeColor="text1"/>
        </w:rPr>
        <w:t xml:space="preserve"> </w:t>
      </w:r>
      <w:r w:rsidR="00011084">
        <w:rPr>
          <w:color w:val="000000" w:themeColor="text1"/>
        </w:rPr>
        <w:t xml:space="preserve">The association between diagnosis of MUO and vaccination was assessed </w:t>
      </w:r>
      <w:r w:rsidR="00D916B0">
        <w:rPr>
          <w:color w:val="000000" w:themeColor="text1"/>
        </w:rPr>
        <w:t>via the</w:t>
      </w:r>
      <w:r w:rsidR="00011084">
        <w:rPr>
          <w:color w:val="000000" w:themeColor="text1"/>
        </w:rPr>
        <w:t xml:space="preserve"> </w:t>
      </w:r>
      <w:r w:rsidRPr="00E33216">
        <w:rPr>
          <w:color w:val="000000" w:themeColor="text1"/>
        </w:rPr>
        <w:t xml:space="preserve">Kolmogorov-Smirnov </w:t>
      </w:r>
      <w:r>
        <w:rPr>
          <w:color w:val="000000" w:themeColor="text1"/>
        </w:rPr>
        <w:t>o</w:t>
      </w:r>
      <w:r w:rsidRPr="00E33216">
        <w:rPr>
          <w:color w:val="000000" w:themeColor="text1"/>
        </w:rPr>
        <w:t xml:space="preserve">ne </w:t>
      </w:r>
      <w:r>
        <w:rPr>
          <w:color w:val="000000" w:themeColor="text1"/>
        </w:rPr>
        <w:t>s</w:t>
      </w:r>
      <w:r w:rsidRPr="00E33216">
        <w:rPr>
          <w:color w:val="000000" w:themeColor="text1"/>
        </w:rPr>
        <w:t xml:space="preserve">ample </w:t>
      </w:r>
      <w:r>
        <w:rPr>
          <w:color w:val="000000" w:themeColor="text1"/>
        </w:rPr>
        <w:t>t</w:t>
      </w:r>
      <w:r w:rsidRPr="00E33216">
        <w:rPr>
          <w:color w:val="000000" w:themeColor="text1"/>
        </w:rPr>
        <w:t xml:space="preserve">est and </w:t>
      </w:r>
      <w:r>
        <w:rPr>
          <w:color w:val="000000" w:themeColor="text1"/>
        </w:rPr>
        <w:t>the</w:t>
      </w:r>
      <w:r w:rsidRPr="00E33216">
        <w:rPr>
          <w:color w:val="000000" w:themeColor="text1"/>
        </w:rPr>
        <w:t xml:space="preserve"> </w:t>
      </w:r>
      <w:r w:rsidR="00456EF4">
        <w:rPr>
          <w:color w:val="000000" w:themeColor="text1"/>
        </w:rPr>
        <w:t>Clopper-Pearson confidence interval for</w:t>
      </w:r>
      <w:r w:rsidRPr="00E33216">
        <w:rPr>
          <w:color w:val="000000" w:themeColor="text1"/>
        </w:rPr>
        <w:t xml:space="preserve"> proportion</w:t>
      </w:r>
      <w:r w:rsidR="00456EF4">
        <w:rPr>
          <w:color w:val="000000" w:themeColor="text1"/>
        </w:rPr>
        <w:t>s</w:t>
      </w:r>
      <w:r w:rsidR="00011084">
        <w:rPr>
          <w:color w:val="000000" w:themeColor="text1"/>
        </w:rPr>
        <w:t xml:space="preserve">; </w:t>
      </w:r>
      <w:r>
        <w:rPr>
          <w:color w:val="000000" w:themeColor="text1"/>
        </w:rPr>
        <w:t>when 1</w:t>
      </w:r>
      <w:r w:rsidR="00011084">
        <w:rPr>
          <w:color w:val="000000" w:themeColor="text1"/>
        </w:rPr>
        <w:t>6</w:t>
      </w:r>
      <w:r>
        <w:rPr>
          <w:color w:val="000000" w:themeColor="text1"/>
        </w:rPr>
        <w:t xml:space="preserve"> months of vaccination history was available</w:t>
      </w:r>
      <w:r w:rsidR="00011084">
        <w:rPr>
          <w:color w:val="000000" w:themeColor="text1"/>
        </w:rPr>
        <w:t>,</w:t>
      </w:r>
      <w:r>
        <w:rPr>
          <w:color w:val="000000" w:themeColor="text1"/>
        </w:rPr>
        <w:t xml:space="preserve"> a case-</w:t>
      </w:r>
      <w:r w:rsidRPr="00FF5579">
        <w:rPr>
          <w:color w:val="000000" w:themeColor="text1"/>
        </w:rPr>
        <w:t xml:space="preserve">crossover </w:t>
      </w:r>
      <w:r w:rsidR="00011084">
        <w:rPr>
          <w:color w:val="000000" w:themeColor="text1"/>
        </w:rPr>
        <w:t>analysis</w:t>
      </w:r>
      <w:r w:rsidRPr="00FF5579">
        <w:rPr>
          <w:color w:val="000000" w:themeColor="text1"/>
        </w:rPr>
        <w:t xml:space="preserve"> </w:t>
      </w:r>
      <w:r>
        <w:rPr>
          <w:color w:val="000000" w:themeColor="text1"/>
        </w:rPr>
        <w:t>was</w:t>
      </w:r>
      <w:r w:rsidRPr="00FF5579">
        <w:rPr>
          <w:color w:val="000000" w:themeColor="text1"/>
        </w:rPr>
        <w:t xml:space="preserve"> </w:t>
      </w:r>
      <w:r w:rsidR="00011084">
        <w:rPr>
          <w:color w:val="000000" w:themeColor="text1"/>
        </w:rPr>
        <w:t>performed</w:t>
      </w:r>
      <w:r w:rsidRPr="00FF5579">
        <w:rPr>
          <w:color w:val="000000" w:themeColor="text1"/>
        </w:rPr>
        <w:t xml:space="preserve"> </w:t>
      </w:r>
      <w:r>
        <w:rPr>
          <w:color w:val="000000" w:themeColor="text1"/>
        </w:rPr>
        <w:t>assessing</w:t>
      </w:r>
      <w:r w:rsidRPr="00FF5579">
        <w:rPr>
          <w:color w:val="000000" w:themeColor="text1"/>
        </w:rPr>
        <w:t xml:space="preserve"> the risk of developing </w:t>
      </w:r>
      <w:r>
        <w:rPr>
          <w:color w:val="000000" w:themeColor="text1"/>
        </w:rPr>
        <w:t>MUO</w:t>
      </w:r>
      <w:r w:rsidRPr="00FF5579">
        <w:rPr>
          <w:color w:val="000000" w:themeColor="text1"/>
        </w:rPr>
        <w:t xml:space="preserve"> within</w:t>
      </w:r>
      <w:r>
        <w:rPr>
          <w:color w:val="000000" w:themeColor="text1"/>
        </w:rPr>
        <w:t xml:space="preserve"> </w:t>
      </w:r>
      <w:r w:rsidRPr="00FF5579">
        <w:rPr>
          <w:color w:val="000000" w:themeColor="text1"/>
        </w:rPr>
        <w:t>60 days</w:t>
      </w:r>
      <w:r>
        <w:rPr>
          <w:color w:val="000000" w:themeColor="text1"/>
        </w:rPr>
        <w:t xml:space="preserve">, </w:t>
      </w:r>
      <w:r w:rsidR="00011084">
        <w:rPr>
          <w:color w:val="000000" w:themeColor="text1"/>
        </w:rPr>
        <w:t xml:space="preserve">as well as in the </w:t>
      </w:r>
      <w:r w:rsidR="00F1329C">
        <w:rPr>
          <w:color w:val="000000" w:themeColor="text1"/>
        </w:rPr>
        <w:t>third- and fourth-months</w:t>
      </w:r>
      <w:r w:rsidR="00011084">
        <w:rPr>
          <w:color w:val="000000" w:themeColor="text1"/>
        </w:rPr>
        <w:t xml:space="preserve"> po</w:t>
      </w:r>
      <w:r w:rsidR="00EC6ED0">
        <w:rPr>
          <w:color w:val="000000" w:themeColor="text1"/>
        </w:rPr>
        <w:t>st-</w:t>
      </w:r>
      <w:r w:rsidR="00011084">
        <w:rPr>
          <w:color w:val="000000" w:themeColor="text1"/>
        </w:rPr>
        <w:t>vaccination</w:t>
      </w:r>
      <w:r>
        <w:rPr>
          <w:color w:val="000000" w:themeColor="text1"/>
        </w:rPr>
        <w:t>.</w:t>
      </w:r>
    </w:p>
    <w:p w14:paraId="6805F2F0" w14:textId="77777777" w:rsidR="00AA5933" w:rsidRDefault="00AA5933" w:rsidP="00AA5933">
      <w:pPr>
        <w:spacing w:after="120"/>
        <w:contextualSpacing/>
        <w:jc w:val="both"/>
        <w:rPr>
          <w:color w:val="000000" w:themeColor="text1"/>
          <w:u w:val="single"/>
        </w:rPr>
      </w:pPr>
      <w:r w:rsidRPr="00E718A2">
        <w:rPr>
          <w:color w:val="000000" w:themeColor="text1"/>
          <w:u w:val="single"/>
        </w:rPr>
        <w:t>Results</w:t>
      </w:r>
    </w:p>
    <w:p w14:paraId="4745E2D0" w14:textId="141334A5" w:rsidR="00AA5933" w:rsidRPr="00FF5579" w:rsidRDefault="00AA5933" w:rsidP="00AA5933">
      <w:pPr>
        <w:spacing w:after="120"/>
        <w:contextualSpacing/>
        <w:jc w:val="both"/>
        <w:rPr>
          <w:color w:val="000000" w:themeColor="text1"/>
        </w:rPr>
      </w:pPr>
      <w:r>
        <w:rPr>
          <w:color w:val="000000" w:themeColor="text1"/>
        </w:rPr>
        <w:t>Both statistical approaches failed to prove vaccination as a trigger for developing MUO.</w:t>
      </w:r>
    </w:p>
    <w:p w14:paraId="5F1B288B" w14:textId="77777777" w:rsidR="00AA5933" w:rsidRPr="00E718A2" w:rsidRDefault="00AA5933" w:rsidP="00AA5933">
      <w:pPr>
        <w:spacing w:after="120"/>
        <w:contextualSpacing/>
        <w:jc w:val="both"/>
        <w:rPr>
          <w:color w:val="000000" w:themeColor="text1"/>
          <w:u w:val="single"/>
        </w:rPr>
      </w:pPr>
      <w:r w:rsidRPr="00E718A2">
        <w:rPr>
          <w:color w:val="000000" w:themeColor="text1"/>
          <w:u w:val="single"/>
        </w:rPr>
        <w:t>Conclusions and clinical importance</w:t>
      </w:r>
    </w:p>
    <w:p w14:paraId="2FEF3450" w14:textId="77777777" w:rsidR="00AA5933" w:rsidRDefault="00AA5933" w:rsidP="00AA5933">
      <w:pPr>
        <w:spacing w:after="120"/>
        <w:contextualSpacing/>
        <w:jc w:val="both"/>
        <w:rPr>
          <w:color w:val="000000" w:themeColor="text1"/>
        </w:rPr>
      </w:pPr>
      <w:r>
        <w:rPr>
          <w:color w:val="000000" w:themeColor="text1"/>
        </w:rPr>
        <w:lastRenderedPageBreak/>
        <w:t>There is no evidence of association between vaccination and MUO. These results support the findings already reported in other suspected immune-mediated diseases in dogs and humans. To the authors’ knowledge this is the first study assessing vaccination as a potential trigger for MUO in dogs.</w:t>
      </w:r>
    </w:p>
    <w:p w14:paraId="0757AD02" w14:textId="77777777" w:rsidR="00AA5933" w:rsidRPr="00AA5933" w:rsidRDefault="00AA5933" w:rsidP="00AA5933">
      <w:pPr>
        <w:contextualSpacing/>
        <w:rPr>
          <w:szCs w:val="24"/>
        </w:rPr>
      </w:pPr>
    </w:p>
    <w:p w14:paraId="57F6A29A" w14:textId="409D5648" w:rsidR="00EA3D3C" w:rsidRDefault="00EA3D3C" w:rsidP="00D9503C">
      <w:pPr>
        <w:pStyle w:val="Titolo1"/>
      </w:pPr>
      <w:r w:rsidRPr="00376CC5">
        <w:t>Introduction</w:t>
      </w:r>
    </w:p>
    <w:p w14:paraId="7CA43136" w14:textId="3BFF7005" w:rsidR="00AA5933" w:rsidRDefault="00AA5933" w:rsidP="00AA5933">
      <w:pPr>
        <w:jc w:val="both"/>
        <w:rPr>
          <w:color w:val="000000" w:themeColor="text1"/>
        </w:rPr>
      </w:pPr>
      <w:r>
        <w:rPr>
          <w:color w:val="000000" w:themeColor="text1"/>
        </w:rPr>
        <w:t>M</w:t>
      </w:r>
      <w:r w:rsidRPr="00A71C13">
        <w:rPr>
          <w:color w:val="000000" w:themeColor="text1"/>
        </w:rPr>
        <w:t>eningoencep</w:t>
      </w:r>
      <w:r>
        <w:rPr>
          <w:color w:val="000000" w:themeColor="text1"/>
        </w:rPr>
        <w:t>h</w:t>
      </w:r>
      <w:r w:rsidRPr="00A71C13">
        <w:rPr>
          <w:color w:val="000000" w:themeColor="text1"/>
        </w:rPr>
        <w:t>a</w:t>
      </w:r>
      <w:r>
        <w:rPr>
          <w:color w:val="000000" w:themeColor="text1"/>
        </w:rPr>
        <w:t>l</w:t>
      </w:r>
      <w:r w:rsidRPr="00A71C13">
        <w:rPr>
          <w:color w:val="000000" w:themeColor="text1"/>
        </w:rPr>
        <w:t>itis of unknow</w:t>
      </w:r>
      <w:r>
        <w:rPr>
          <w:color w:val="000000" w:themeColor="text1"/>
        </w:rPr>
        <w:t>n</w:t>
      </w:r>
      <w:r w:rsidRPr="00A71C13">
        <w:rPr>
          <w:color w:val="000000" w:themeColor="text1"/>
        </w:rPr>
        <w:t xml:space="preserve"> origin </w:t>
      </w:r>
      <w:r>
        <w:rPr>
          <w:color w:val="000000" w:themeColor="text1"/>
        </w:rPr>
        <w:t>(MUO) is a</w:t>
      </w:r>
      <w:r w:rsidR="00BD7CD1">
        <w:rPr>
          <w:color w:val="000000" w:themeColor="text1"/>
        </w:rPr>
        <w:t xml:space="preserve"> wide term which include different ty</w:t>
      </w:r>
      <w:r w:rsidR="00E34714">
        <w:rPr>
          <w:color w:val="000000" w:themeColor="text1"/>
        </w:rPr>
        <w:t>p</w:t>
      </w:r>
      <w:r w:rsidR="00BD7CD1">
        <w:rPr>
          <w:color w:val="000000" w:themeColor="text1"/>
        </w:rPr>
        <w:t>es of non-infectious inflammatory CNS disease. These group include steroid responsive meningitis</w:t>
      </w:r>
      <w:r w:rsidR="00E34714">
        <w:rPr>
          <w:color w:val="000000" w:themeColor="text1"/>
        </w:rPr>
        <w:t xml:space="preserve"> (SRMA)</w:t>
      </w:r>
      <w:r w:rsidR="00BD7CD1">
        <w:rPr>
          <w:color w:val="000000" w:themeColor="text1"/>
        </w:rPr>
        <w:t>, and eosinophilic meningoencephalitis</w:t>
      </w:r>
      <w:r w:rsidR="00E34714">
        <w:rPr>
          <w:color w:val="000000" w:themeColor="text1"/>
        </w:rPr>
        <w:t xml:space="preserve"> (EME)</w:t>
      </w:r>
      <w:r w:rsidR="00BD7CD1">
        <w:rPr>
          <w:color w:val="000000" w:themeColor="text1"/>
        </w:rPr>
        <w:t xml:space="preserve">, granulomatous meningoencephalitis </w:t>
      </w:r>
      <w:r w:rsidR="00E34714">
        <w:rPr>
          <w:color w:val="000000" w:themeColor="text1"/>
        </w:rPr>
        <w:t xml:space="preserve">(GME) </w:t>
      </w:r>
      <w:r w:rsidR="00BD7CD1">
        <w:rPr>
          <w:color w:val="000000" w:themeColor="text1"/>
        </w:rPr>
        <w:t>and necrotizing encephalitis</w:t>
      </w:r>
      <w:r w:rsidR="00E34714">
        <w:rPr>
          <w:color w:val="000000" w:themeColor="text1"/>
        </w:rPr>
        <w:t xml:space="preserve"> (NE)</w:t>
      </w:r>
      <w:r w:rsidR="00BD7CD1">
        <w:rPr>
          <w:color w:val="000000" w:themeColor="text1"/>
        </w:rPr>
        <w:t xml:space="preserve"> that includes necrotizing leucoencephalitis</w:t>
      </w:r>
      <w:r w:rsidR="00E34714">
        <w:rPr>
          <w:color w:val="000000" w:themeColor="text1"/>
        </w:rPr>
        <w:t xml:space="preserve"> (NLE)</w:t>
      </w:r>
      <w:r w:rsidR="00BD7CD1">
        <w:rPr>
          <w:color w:val="000000" w:themeColor="text1"/>
        </w:rPr>
        <w:t xml:space="preserve"> and</w:t>
      </w:r>
      <w:r w:rsidR="00E34714">
        <w:rPr>
          <w:color w:val="000000" w:themeColor="text1"/>
        </w:rPr>
        <w:t xml:space="preserve"> necrotizing </w:t>
      </w:r>
      <w:proofErr w:type="spellStart"/>
      <w:r w:rsidR="00E34714">
        <w:rPr>
          <w:color w:val="000000" w:themeColor="text1"/>
        </w:rPr>
        <w:t>meningoencephalomyelitis</w:t>
      </w:r>
      <w:proofErr w:type="spellEnd"/>
      <w:r w:rsidR="00E34714">
        <w:rPr>
          <w:color w:val="000000" w:themeColor="text1"/>
        </w:rPr>
        <w:t xml:space="preserve"> (NME</w:t>
      </w:r>
      <w:proofErr w:type="gramStart"/>
      <w:r w:rsidR="00E34714">
        <w:rPr>
          <w:color w:val="000000" w:themeColor="text1"/>
        </w:rPr>
        <w:t>)</w:t>
      </w:r>
      <w:r w:rsidR="00AB5513">
        <w:rPr>
          <w:color w:val="000000" w:themeColor="text1"/>
        </w:rPr>
        <w:t>(</w:t>
      </w:r>
      <w:proofErr w:type="gramEnd"/>
      <w:r w:rsidR="00AB5513">
        <w:rPr>
          <w:color w:val="000000" w:themeColor="text1"/>
        </w:rPr>
        <w:t>1)</w:t>
      </w:r>
      <w:r>
        <w:rPr>
          <w:color w:val="000000" w:themeColor="text1"/>
        </w:rPr>
        <w:t xml:space="preserve"> </w:t>
      </w:r>
      <w:r w:rsidR="00F1329C">
        <w:rPr>
          <w:color w:val="000000" w:themeColor="text1"/>
        </w:rPr>
        <w:t>.</w:t>
      </w:r>
      <w:r w:rsidR="008C5E33">
        <w:rPr>
          <w:color w:val="000000" w:themeColor="text1"/>
        </w:rPr>
        <w:t>Although</w:t>
      </w:r>
      <w:r w:rsidR="00E34714">
        <w:rPr>
          <w:color w:val="000000" w:themeColor="text1"/>
        </w:rPr>
        <w:t xml:space="preserve"> all of t</w:t>
      </w:r>
      <w:r>
        <w:rPr>
          <w:color w:val="000000" w:themeColor="text1"/>
        </w:rPr>
        <w:t xml:space="preserve">hese diseases </w:t>
      </w:r>
      <w:r w:rsidR="00E34714">
        <w:rPr>
          <w:color w:val="000000" w:themeColor="text1"/>
        </w:rPr>
        <w:t xml:space="preserve">are included under the name of </w:t>
      </w:r>
      <w:proofErr w:type="spellStart"/>
      <w:r w:rsidR="00E34714">
        <w:rPr>
          <w:color w:val="000000" w:themeColor="text1"/>
        </w:rPr>
        <w:t>menongoencephalitis</w:t>
      </w:r>
      <w:proofErr w:type="spellEnd"/>
      <w:r w:rsidR="00E34714">
        <w:rPr>
          <w:color w:val="000000" w:themeColor="text1"/>
        </w:rPr>
        <w:t xml:space="preserve"> of unknown origin, SRMA and EME are </w:t>
      </w:r>
      <w:r w:rsidR="00F1329C">
        <w:rPr>
          <w:color w:val="000000" w:themeColor="text1"/>
        </w:rPr>
        <w:t>normally</w:t>
      </w:r>
      <w:r w:rsidR="00E34714">
        <w:rPr>
          <w:color w:val="000000" w:themeColor="text1"/>
        </w:rPr>
        <w:t xml:space="preserve"> treated as separated entities as they both have distinctive clinical characteristics. The rest of the diseases </w:t>
      </w:r>
      <w:r>
        <w:rPr>
          <w:color w:val="000000" w:themeColor="text1"/>
        </w:rPr>
        <w:t xml:space="preserve">require histopathology for </w:t>
      </w:r>
      <w:r w:rsidR="004A466B">
        <w:rPr>
          <w:color w:val="000000" w:themeColor="text1"/>
        </w:rPr>
        <w:t xml:space="preserve">definitive </w:t>
      </w:r>
      <w:r>
        <w:rPr>
          <w:color w:val="000000" w:themeColor="text1"/>
        </w:rPr>
        <w:t>diagnosis and differentiation</w:t>
      </w:r>
      <w:r w:rsidR="00E34714">
        <w:rPr>
          <w:color w:val="000000" w:themeColor="text1"/>
        </w:rPr>
        <w:t>.</w:t>
      </w:r>
      <w:r>
        <w:rPr>
          <w:color w:val="000000" w:themeColor="text1"/>
        </w:rPr>
        <w:t xml:space="preserve"> </w:t>
      </w:r>
      <w:r w:rsidR="00532248">
        <w:rPr>
          <w:color w:val="000000" w:themeColor="text1"/>
        </w:rPr>
        <w:t>(1-3)</w:t>
      </w:r>
    </w:p>
    <w:p w14:paraId="4200E904" w14:textId="7EC33DDD" w:rsidR="00AA5933" w:rsidRDefault="00AA5933" w:rsidP="00AA5933">
      <w:pPr>
        <w:jc w:val="both"/>
        <w:rPr>
          <w:color w:val="FF0000"/>
        </w:rPr>
      </w:pPr>
      <w:r>
        <w:rPr>
          <w:color w:val="000000" w:themeColor="text1"/>
        </w:rPr>
        <w:t xml:space="preserve">The etiology of canine MUO remains unclear. Hypotheses include triggering of an excessive immunologic response, genetic predisposition, environmental factors and </w:t>
      </w:r>
      <w:r w:rsidR="00FF3418">
        <w:rPr>
          <w:color w:val="000000" w:themeColor="text1"/>
        </w:rPr>
        <w:t xml:space="preserve">exposure to </w:t>
      </w:r>
      <w:r>
        <w:rPr>
          <w:color w:val="000000" w:themeColor="text1"/>
        </w:rPr>
        <w:t xml:space="preserve">infectious </w:t>
      </w:r>
      <w:r w:rsidR="00D916B0" w:rsidRPr="00E1146F">
        <w:rPr>
          <w:color w:val="000000" w:themeColor="text1"/>
        </w:rPr>
        <w:t>agents.</w:t>
      </w:r>
      <w:r w:rsidR="00D916B0">
        <w:rPr>
          <w:color w:val="000000" w:themeColor="text1"/>
        </w:rPr>
        <w:t xml:space="preserve"> (</w:t>
      </w:r>
      <w:r w:rsidR="00532248">
        <w:rPr>
          <w:color w:val="000000" w:themeColor="text1"/>
        </w:rPr>
        <w:t>4)</w:t>
      </w:r>
      <w:r>
        <w:rPr>
          <w:color w:val="FF0000"/>
        </w:rPr>
        <w:t xml:space="preserve"> </w:t>
      </w:r>
      <w:r w:rsidRPr="00684A13">
        <w:rPr>
          <w:color w:val="000000" w:themeColor="text1"/>
        </w:rPr>
        <w:t xml:space="preserve">The theory </w:t>
      </w:r>
      <w:r>
        <w:rPr>
          <w:color w:val="000000" w:themeColor="text1"/>
        </w:rPr>
        <w:t>behind an</w:t>
      </w:r>
      <w:r w:rsidRPr="00684A13">
        <w:rPr>
          <w:color w:val="000000" w:themeColor="text1"/>
        </w:rPr>
        <w:t xml:space="preserve"> excessive immunologic response has been </w:t>
      </w:r>
      <w:r>
        <w:rPr>
          <w:color w:val="000000" w:themeColor="text1"/>
        </w:rPr>
        <w:t>supported</w:t>
      </w:r>
      <w:r w:rsidRPr="00684A13">
        <w:rPr>
          <w:color w:val="000000" w:themeColor="text1"/>
        </w:rPr>
        <w:t xml:space="preserve"> </w:t>
      </w:r>
      <w:r>
        <w:rPr>
          <w:color w:val="000000" w:themeColor="text1"/>
        </w:rPr>
        <w:t>by</w:t>
      </w:r>
      <w:r w:rsidRPr="00684A13">
        <w:rPr>
          <w:color w:val="000000" w:themeColor="text1"/>
        </w:rPr>
        <w:t xml:space="preserve"> the </w:t>
      </w:r>
      <w:r>
        <w:rPr>
          <w:color w:val="000000" w:themeColor="text1"/>
        </w:rPr>
        <w:t>response of</w:t>
      </w:r>
      <w:r w:rsidRPr="00684A13">
        <w:rPr>
          <w:color w:val="000000" w:themeColor="text1"/>
        </w:rPr>
        <w:t xml:space="preserve"> </w:t>
      </w:r>
      <w:r>
        <w:rPr>
          <w:color w:val="000000" w:themeColor="text1"/>
        </w:rPr>
        <w:t xml:space="preserve">non-infectious meningoencephalitides </w:t>
      </w:r>
      <w:r w:rsidRPr="00684A13">
        <w:rPr>
          <w:color w:val="000000" w:themeColor="text1"/>
        </w:rPr>
        <w:t>to immunosuppressive</w:t>
      </w:r>
      <w:r>
        <w:rPr>
          <w:color w:val="000000" w:themeColor="text1"/>
        </w:rPr>
        <w:t xml:space="preserve"> or immunomodulatory</w:t>
      </w:r>
      <w:r w:rsidRPr="00684A13">
        <w:rPr>
          <w:color w:val="000000" w:themeColor="text1"/>
        </w:rPr>
        <w:t xml:space="preserve"> </w:t>
      </w:r>
      <w:r w:rsidR="00D916B0" w:rsidRPr="00684A13">
        <w:rPr>
          <w:color w:val="000000" w:themeColor="text1"/>
        </w:rPr>
        <w:t>therap</w:t>
      </w:r>
      <w:r w:rsidR="00D916B0">
        <w:rPr>
          <w:color w:val="000000" w:themeColor="text1"/>
        </w:rPr>
        <w:t>ies. (</w:t>
      </w:r>
      <w:r w:rsidR="00532248">
        <w:rPr>
          <w:color w:val="000000" w:themeColor="text1"/>
        </w:rPr>
        <w:t>5)</w:t>
      </w:r>
      <w:r w:rsidRPr="00E1146F">
        <w:rPr>
          <w:color w:val="000000" w:themeColor="text1"/>
          <w:vertAlign w:val="superscript"/>
        </w:rPr>
        <w:t xml:space="preserve"> </w:t>
      </w:r>
      <w:r>
        <w:rPr>
          <w:color w:val="FF0000"/>
        </w:rPr>
        <w:t xml:space="preserve"> </w:t>
      </w:r>
    </w:p>
    <w:p w14:paraId="37F816CB" w14:textId="649BF6AA" w:rsidR="00AA5933" w:rsidRPr="001B25C5" w:rsidRDefault="00AA5933" w:rsidP="00AA5933">
      <w:pPr>
        <w:jc w:val="both"/>
      </w:pPr>
      <w:r>
        <w:rPr>
          <w:color w:val="000000" w:themeColor="text1"/>
        </w:rPr>
        <w:t xml:space="preserve">Experimental allergic encephalomyelitis (EAE) has been induced in rodents by immunization with adjuvanted myelin antigens </w:t>
      </w:r>
      <w:r w:rsidR="00F1329C">
        <w:rPr>
          <w:color w:val="000000" w:themeColor="text1"/>
        </w:rPr>
        <w:t>by stimulating</w:t>
      </w:r>
      <w:r>
        <w:rPr>
          <w:color w:val="000000" w:themeColor="text1"/>
        </w:rPr>
        <w:t xml:space="preserve"> T cell-mediated immunity to myelin antigens.</w:t>
      </w:r>
      <w:r w:rsidR="004A466B">
        <w:rPr>
          <w:color w:val="000000" w:themeColor="text1"/>
        </w:rPr>
        <w:t xml:space="preserve"> In</w:t>
      </w:r>
      <w:r w:rsidR="00E72198">
        <w:rPr>
          <w:color w:val="000000" w:themeColor="text1"/>
        </w:rPr>
        <w:t xml:space="preserve"> Moon´s Study</w:t>
      </w:r>
      <w:r>
        <w:rPr>
          <w:color w:val="000000" w:themeColor="text1"/>
        </w:rPr>
        <w:t xml:space="preserve">   58%</w:t>
      </w:r>
      <w:r w:rsidR="004A466B">
        <w:rPr>
          <w:color w:val="000000" w:themeColor="text1"/>
        </w:rPr>
        <w:t xml:space="preserve"> </w:t>
      </w:r>
      <w:r>
        <w:rPr>
          <w:color w:val="000000" w:themeColor="text1"/>
        </w:rPr>
        <w:t>of dogs develop</w:t>
      </w:r>
      <w:r w:rsidR="004A466B">
        <w:rPr>
          <w:color w:val="000000" w:themeColor="text1"/>
        </w:rPr>
        <w:t>ed</w:t>
      </w:r>
      <w:r>
        <w:rPr>
          <w:color w:val="000000" w:themeColor="text1"/>
        </w:rPr>
        <w:t xml:space="preserve"> EAE after </w:t>
      </w:r>
      <w:r w:rsidR="004A466B">
        <w:rPr>
          <w:color w:val="000000" w:themeColor="text1"/>
        </w:rPr>
        <w:t>receiv</w:t>
      </w:r>
      <w:r>
        <w:rPr>
          <w:color w:val="000000" w:themeColor="text1"/>
        </w:rPr>
        <w:t xml:space="preserve">ing a </w:t>
      </w:r>
      <w:r w:rsidR="004A466B">
        <w:rPr>
          <w:color w:val="000000" w:themeColor="text1"/>
        </w:rPr>
        <w:t>subcutaneous</w:t>
      </w:r>
      <w:r>
        <w:rPr>
          <w:color w:val="000000" w:themeColor="text1"/>
        </w:rPr>
        <w:t xml:space="preserve"> injection of canine brain homogen</w:t>
      </w:r>
      <w:r w:rsidR="004A466B">
        <w:rPr>
          <w:color w:val="000000" w:themeColor="text1"/>
        </w:rPr>
        <w:t>ate</w:t>
      </w:r>
      <w:r>
        <w:rPr>
          <w:color w:val="000000" w:themeColor="text1"/>
        </w:rPr>
        <w:t>.</w:t>
      </w:r>
      <w:r w:rsidR="00532248">
        <w:rPr>
          <w:color w:val="000000" w:themeColor="text1"/>
        </w:rPr>
        <w:t>(6,7)</w:t>
      </w:r>
      <w:r>
        <w:rPr>
          <w:color w:val="000000" w:themeColor="text1"/>
        </w:rPr>
        <w:t xml:space="preserve"> Under ideal conditions vaccination should be able to trigger both innate and adaptative immune system</w:t>
      </w:r>
      <w:r w:rsidR="004A466B">
        <w:rPr>
          <w:color w:val="000000" w:themeColor="text1"/>
        </w:rPr>
        <w:t xml:space="preserve"> responses</w:t>
      </w:r>
      <w:r>
        <w:rPr>
          <w:color w:val="000000" w:themeColor="text1"/>
        </w:rPr>
        <w:t>.</w:t>
      </w:r>
      <w:r w:rsidR="00532248">
        <w:rPr>
          <w:color w:val="000000" w:themeColor="text1"/>
        </w:rPr>
        <w:t>(8)</w:t>
      </w:r>
      <w:r>
        <w:rPr>
          <w:color w:val="000000" w:themeColor="text1"/>
          <w:vertAlign w:val="superscript"/>
        </w:rPr>
        <w:t xml:space="preserve"> </w:t>
      </w:r>
      <w:r>
        <w:rPr>
          <w:color w:val="000000" w:themeColor="text1"/>
        </w:rPr>
        <w:t>It has been hypothesized that vaccination may trigger</w:t>
      </w:r>
      <w:r w:rsidR="000247F8">
        <w:rPr>
          <w:color w:val="000000" w:themeColor="text1"/>
        </w:rPr>
        <w:t xml:space="preserve"> a</w:t>
      </w:r>
      <w:r>
        <w:rPr>
          <w:color w:val="000000" w:themeColor="text1"/>
        </w:rPr>
        <w:t xml:space="preserve"> non-desirable immunoreactivity by diverse molecular mechanisms that could potentially lead to autoimmune activation.</w:t>
      </w:r>
      <w:r w:rsidR="00532248">
        <w:rPr>
          <w:color w:val="000000" w:themeColor="text1"/>
        </w:rPr>
        <w:t>(9,10)</w:t>
      </w:r>
      <w:r w:rsidR="00E72198">
        <w:rPr>
          <w:color w:val="000000" w:themeColor="text1"/>
        </w:rPr>
        <w:t xml:space="preserve"> The</w:t>
      </w:r>
      <w:r w:rsidR="007225D0">
        <w:rPr>
          <w:color w:val="000000" w:themeColor="text1"/>
        </w:rPr>
        <w:t xml:space="preserve"> </w:t>
      </w:r>
      <w:r w:rsidR="00E72198">
        <w:t>d</w:t>
      </w:r>
      <w:r>
        <w:t xml:space="preserve">evelopment of immune-mediated disease </w:t>
      </w:r>
      <w:r w:rsidR="00E72198">
        <w:t xml:space="preserve">has been </w:t>
      </w:r>
      <w:r>
        <w:t xml:space="preserve">associated with </w:t>
      </w:r>
      <w:r w:rsidR="000247F8">
        <w:t xml:space="preserve">a </w:t>
      </w:r>
      <w:r>
        <w:t xml:space="preserve">dysregulation and dysfunction of the adaptive and innate systems. </w:t>
      </w:r>
      <w:r w:rsidR="000247F8">
        <w:t>T</w:t>
      </w:r>
      <w:r w:rsidR="00E72198">
        <w:t xml:space="preserve">he </w:t>
      </w:r>
      <w:r>
        <w:t>activation of the immune system</w:t>
      </w:r>
      <w:r w:rsidR="000247F8">
        <w:t xml:space="preserve"> outside the central nervous system, will trigger a neuroinflammatory response that can</w:t>
      </w:r>
      <w:r>
        <w:t xml:space="preserve"> </w:t>
      </w:r>
      <w:r w:rsidR="000247F8">
        <w:t xml:space="preserve">still affect </w:t>
      </w:r>
      <w:r>
        <w:t>the central nervous system</w:t>
      </w:r>
      <w:r w:rsidR="000247F8">
        <w:t xml:space="preserve"> despite the presence of</w:t>
      </w:r>
      <w:r w:rsidR="00F1329C">
        <w:t xml:space="preserve"> </w:t>
      </w:r>
      <w:r w:rsidR="00E72198">
        <w:t>the blood-brain barrier</w:t>
      </w:r>
      <w:r w:rsidR="000247F8">
        <w:t xml:space="preserve"> which</w:t>
      </w:r>
      <w:r w:rsidR="00E72198">
        <w:t xml:space="preserve"> </w:t>
      </w:r>
      <w:r w:rsidR="000247F8">
        <w:t xml:space="preserve">will be disrupted secondary to the cellular damage </w:t>
      </w:r>
      <w:r w:rsidR="00AB5513">
        <w:t xml:space="preserve">produced. Therefore, </w:t>
      </w:r>
      <w:r w:rsidR="000247F8">
        <w:t xml:space="preserve">the neuroinflammatory response will affect the cellular components that </w:t>
      </w:r>
      <w:r>
        <w:t>are normally protected by the blood-brain barrier</w:t>
      </w:r>
      <w:r w:rsidR="00D916B0" w:rsidRPr="00941C5F">
        <w:rPr>
          <w:color w:val="000000" w:themeColor="text1"/>
        </w:rPr>
        <w:t>.</w:t>
      </w:r>
      <w:r w:rsidR="00D916B0">
        <w:rPr>
          <w:color w:val="000000" w:themeColor="text1"/>
        </w:rPr>
        <w:t xml:space="preserve"> (</w:t>
      </w:r>
      <w:r w:rsidR="00532248">
        <w:rPr>
          <w:color w:val="000000" w:themeColor="text1"/>
        </w:rPr>
        <w:t>2,11-14)</w:t>
      </w:r>
    </w:p>
    <w:p w14:paraId="18682E08" w14:textId="7EFBE9E7" w:rsidR="00AA5933" w:rsidRPr="00AA5933" w:rsidRDefault="00AA5933" w:rsidP="00AA5933">
      <w:pPr>
        <w:jc w:val="both"/>
        <w:rPr>
          <w:color w:val="000000" w:themeColor="text1"/>
        </w:rPr>
      </w:pPr>
      <w:r w:rsidRPr="00E14F7D">
        <w:rPr>
          <w:color w:val="000000" w:themeColor="text1"/>
        </w:rPr>
        <w:t xml:space="preserve">The aim of this study was to </w:t>
      </w:r>
      <w:r>
        <w:rPr>
          <w:color w:val="000000" w:themeColor="text1"/>
        </w:rPr>
        <w:t xml:space="preserve">further </w:t>
      </w:r>
      <w:r w:rsidRPr="00E14F7D">
        <w:rPr>
          <w:color w:val="000000" w:themeColor="text1"/>
        </w:rPr>
        <w:t xml:space="preserve">investigate </w:t>
      </w:r>
      <w:r w:rsidRPr="00941C5F">
        <w:rPr>
          <w:color w:val="000000" w:themeColor="text1"/>
        </w:rPr>
        <w:t xml:space="preserve">if a temporal </w:t>
      </w:r>
      <w:r>
        <w:rPr>
          <w:color w:val="000000" w:themeColor="text1"/>
        </w:rPr>
        <w:t xml:space="preserve">correlation could be found between vaccination and the development of MUO. </w:t>
      </w:r>
    </w:p>
    <w:p w14:paraId="4FE4A45B" w14:textId="7AE78E6C" w:rsidR="00DE23E8" w:rsidRDefault="00AA5933" w:rsidP="00AC0270">
      <w:pPr>
        <w:pStyle w:val="Titolo1"/>
      </w:pPr>
      <w:r>
        <w:t>Material and Methods</w:t>
      </w:r>
    </w:p>
    <w:p w14:paraId="70C2A403" w14:textId="5B09013F"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 xml:space="preserve">The medical records of all dogs that were diagnosed with suspected MUO at North West Veterinary Specialists from August 2015 to December 2019 and from University of Tennessee from February 2002 to January 2009 were reviewed. </w:t>
      </w:r>
      <w:r w:rsidR="00FF64B5">
        <w:rPr>
          <w:rFonts w:cs="Times New Roman"/>
          <w:color w:val="000000" w:themeColor="text1"/>
          <w:szCs w:val="24"/>
        </w:rPr>
        <w:t>C</w:t>
      </w:r>
      <w:r w:rsidRPr="00AA5933">
        <w:rPr>
          <w:rFonts w:cs="Times New Roman"/>
          <w:color w:val="000000" w:themeColor="text1"/>
          <w:szCs w:val="24"/>
        </w:rPr>
        <w:t xml:space="preserve">ases </w:t>
      </w:r>
      <w:r w:rsidR="00FF64B5">
        <w:rPr>
          <w:rFonts w:cs="Times New Roman"/>
          <w:color w:val="000000" w:themeColor="text1"/>
          <w:szCs w:val="24"/>
        </w:rPr>
        <w:t xml:space="preserve">were selected </w:t>
      </w:r>
      <w:r w:rsidRPr="00AA5933">
        <w:rPr>
          <w:rFonts w:cs="Times New Roman"/>
          <w:color w:val="000000" w:themeColor="text1"/>
          <w:szCs w:val="24"/>
        </w:rPr>
        <w:t>based on inclusion criteria for the diagnosis of canine MUO suggested by Granger et al.</w:t>
      </w:r>
      <w:r w:rsidR="003D6679">
        <w:rPr>
          <w:rFonts w:cs="Times New Roman"/>
          <w:color w:val="000000" w:themeColor="text1"/>
          <w:szCs w:val="24"/>
        </w:rPr>
        <w:t xml:space="preserve"> in order to standardize the cases selected and trying to achieve a diagnosis with confidence</w:t>
      </w:r>
      <w:r w:rsidR="00AB5513">
        <w:rPr>
          <w:rFonts w:cs="Times New Roman"/>
          <w:color w:val="000000" w:themeColor="text1"/>
          <w:szCs w:val="24"/>
        </w:rPr>
        <w:t xml:space="preserve"> </w:t>
      </w:r>
      <w:r w:rsidR="00532248">
        <w:rPr>
          <w:rFonts w:cs="Times New Roman"/>
          <w:color w:val="000000" w:themeColor="text1"/>
          <w:szCs w:val="24"/>
        </w:rPr>
        <w:t>(1</w:t>
      </w:r>
      <w:proofErr w:type="gramStart"/>
      <w:r w:rsidR="00532248">
        <w:rPr>
          <w:rFonts w:cs="Times New Roman"/>
          <w:color w:val="000000" w:themeColor="text1"/>
          <w:szCs w:val="24"/>
        </w:rPr>
        <w:t>)</w:t>
      </w:r>
      <w:r w:rsidR="003D6679">
        <w:rPr>
          <w:rFonts w:cs="Times New Roman"/>
          <w:color w:val="000000" w:themeColor="text1"/>
          <w:szCs w:val="24"/>
        </w:rPr>
        <w:t>.</w:t>
      </w:r>
      <w:r w:rsidRPr="00AA5933">
        <w:rPr>
          <w:rFonts w:cs="Times New Roman"/>
          <w:color w:val="000000" w:themeColor="text1"/>
          <w:szCs w:val="24"/>
        </w:rPr>
        <w:t>Specifically</w:t>
      </w:r>
      <w:proofErr w:type="gramEnd"/>
      <w:r w:rsidRPr="00AA5933">
        <w:rPr>
          <w:rFonts w:cs="Times New Roman"/>
          <w:color w:val="000000" w:themeColor="text1"/>
          <w:szCs w:val="24"/>
        </w:rPr>
        <w:t>, dogs</w:t>
      </w:r>
      <w:r w:rsidR="00FF64B5">
        <w:rPr>
          <w:rFonts w:cs="Times New Roman"/>
          <w:color w:val="000000" w:themeColor="text1"/>
          <w:szCs w:val="24"/>
        </w:rPr>
        <w:t xml:space="preserve"> were included</w:t>
      </w:r>
      <w:r w:rsidRPr="00AA5933">
        <w:rPr>
          <w:rFonts w:cs="Times New Roman"/>
          <w:color w:val="000000" w:themeColor="text1"/>
          <w:szCs w:val="24"/>
        </w:rPr>
        <w:t xml:space="preserve"> if they were &gt;6 months old, had a neurological examination compatible </w:t>
      </w:r>
      <w:r w:rsidR="00535DD3">
        <w:rPr>
          <w:rFonts w:cs="Times New Roman"/>
          <w:color w:val="000000" w:themeColor="text1"/>
          <w:szCs w:val="24"/>
        </w:rPr>
        <w:t xml:space="preserve">intracranial lesions (either single, multifocal or diffuse) this lesions needed to be </w:t>
      </w:r>
      <w:r w:rsidRPr="00AA5933">
        <w:rPr>
          <w:rFonts w:cs="Times New Roman"/>
          <w:color w:val="000000" w:themeColor="text1"/>
          <w:szCs w:val="24"/>
        </w:rPr>
        <w:t>confirmed by magnetic resonance imaging (MRI)</w:t>
      </w:r>
      <w:r w:rsidR="00535DD3">
        <w:rPr>
          <w:rFonts w:cs="Times New Roman"/>
          <w:color w:val="000000" w:themeColor="text1"/>
          <w:szCs w:val="24"/>
        </w:rPr>
        <w:t>. All the cases included</w:t>
      </w:r>
      <w:r w:rsidRPr="00AA5933">
        <w:rPr>
          <w:rFonts w:cs="Times New Roman"/>
          <w:color w:val="000000" w:themeColor="text1"/>
          <w:szCs w:val="24"/>
        </w:rPr>
        <w:t xml:space="preserve"> had cerebrospinal fluid (CSF) analyses consistent with </w:t>
      </w:r>
      <w:r w:rsidR="00535DD3">
        <w:rPr>
          <w:rFonts w:cs="Times New Roman"/>
          <w:color w:val="000000" w:themeColor="text1"/>
          <w:szCs w:val="24"/>
        </w:rPr>
        <w:t>inflammation</w:t>
      </w:r>
      <w:r w:rsidRPr="00AA5933">
        <w:rPr>
          <w:rFonts w:cs="Times New Roman"/>
          <w:color w:val="000000" w:themeColor="text1"/>
          <w:szCs w:val="24"/>
        </w:rPr>
        <w:t xml:space="preserve"> </w:t>
      </w:r>
      <w:r w:rsidR="00A4552D">
        <w:rPr>
          <w:rFonts w:cs="Times New Roman"/>
          <w:color w:val="000000" w:themeColor="text1"/>
          <w:szCs w:val="24"/>
        </w:rPr>
        <w:t>meaning</w:t>
      </w:r>
      <w:r w:rsidR="00A4552D" w:rsidRPr="00AA5933">
        <w:rPr>
          <w:rFonts w:cs="Times New Roman"/>
          <w:color w:val="000000" w:themeColor="text1"/>
          <w:szCs w:val="24"/>
        </w:rPr>
        <w:t xml:space="preserve"> increased</w:t>
      </w:r>
      <w:r w:rsidRPr="00AA5933">
        <w:rPr>
          <w:rFonts w:cs="Times New Roman"/>
          <w:color w:val="000000" w:themeColor="text1"/>
          <w:szCs w:val="24"/>
        </w:rPr>
        <w:t xml:space="preserve"> protein count more than 27mg/ml for atlantooccipital sampling and more than 35mg/ml for lumbar </w:t>
      </w:r>
      <w:proofErr w:type="gramStart"/>
      <w:r w:rsidRPr="00AA5933">
        <w:rPr>
          <w:rFonts w:cs="Times New Roman"/>
          <w:color w:val="000000" w:themeColor="text1"/>
          <w:szCs w:val="24"/>
        </w:rPr>
        <w:t>sampling</w:t>
      </w:r>
      <w:r w:rsidR="00BB6FCF">
        <w:rPr>
          <w:rFonts w:cs="Times New Roman"/>
          <w:color w:val="000000" w:themeColor="text1"/>
          <w:szCs w:val="24"/>
        </w:rPr>
        <w:t>.(</w:t>
      </w:r>
      <w:proofErr w:type="gramEnd"/>
      <w:r w:rsidR="00BB6FCF">
        <w:rPr>
          <w:rFonts w:cs="Times New Roman"/>
          <w:color w:val="000000" w:themeColor="text1"/>
          <w:szCs w:val="24"/>
        </w:rPr>
        <w:t>Reference ranges stablished by the laboratory)</w:t>
      </w:r>
      <w:r w:rsidR="00535DD3">
        <w:rPr>
          <w:rFonts w:cs="Times New Roman"/>
          <w:color w:val="000000" w:themeColor="text1"/>
          <w:szCs w:val="24"/>
        </w:rPr>
        <w:t>.</w:t>
      </w:r>
      <w:r w:rsidRPr="00AA5933">
        <w:rPr>
          <w:rFonts w:cs="Times New Roman"/>
          <w:color w:val="000000" w:themeColor="text1"/>
          <w:szCs w:val="24"/>
        </w:rPr>
        <w:t xml:space="preserve"> </w:t>
      </w:r>
      <w:r w:rsidR="00535DD3">
        <w:rPr>
          <w:rFonts w:cs="Times New Roman"/>
          <w:color w:val="000000" w:themeColor="text1"/>
          <w:szCs w:val="24"/>
        </w:rPr>
        <w:t>I</w:t>
      </w:r>
      <w:r w:rsidRPr="00AA5933">
        <w:rPr>
          <w:rFonts w:cs="Times New Roman"/>
          <w:color w:val="000000" w:themeColor="text1"/>
          <w:szCs w:val="24"/>
        </w:rPr>
        <w:t>ncreased white blood cell count: more than 6 num/µL irrespectively from sampling site</w:t>
      </w:r>
      <w:r w:rsidR="00535DD3">
        <w:rPr>
          <w:rFonts w:cs="Times New Roman"/>
          <w:color w:val="000000" w:themeColor="text1"/>
          <w:szCs w:val="24"/>
        </w:rPr>
        <w:t>.</w:t>
      </w:r>
      <w:r w:rsidR="00141780">
        <w:rPr>
          <w:rFonts w:cs="Times New Roman"/>
          <w:color w:val="000000" w:themeColor="text1"/>
          <w:szCs w:val="24"/>
        </w:rPr>
        <w:t xml:space="preserve"> and/or</w:t>
      </w:r>
      <w:r w:rsidR="00AB5513">
        <w:rPr>
          <w:rFonts w:cs="Times New Roman"/>
          <w:color w:val="000000" w:themeColor="text1"/>
          <w:szCs w:val="24"/>
        </w:rPr>
        <w:t xml:space="preserve"> p</w:t>
      </w:r>
      <w:r w:rsidR="00A4552D">
        <w:rPr>
          <w:rFonts w:cs="Times New Roman"/>
          <w:color w:val="000000" w:themeColor="text1"/>
          <w:szCs w:val="24"/>
        </w:rPr>
        <w:t>l</w:t>
      </w:r>
      <w:r w:rsidRPr="00AA5933">
        <w:rPr>
          <w:rFonts w:cs="Times New Roman"/>
          <w:color w:val="000000" w:themeColor="text1"/>
          <w:szCs w:val="24"/>
        </w:rPr>
        <w:t xml:space="preserve">eocytosis suggestive of inflammation on cytological </w:t>
      </w:r>
      <w:r w:rsidRPr="00AA5933">
        <w:rPr>
          <w:rFonts w:cs="Times New Roman"/>
          <w:color w:val="000000" w:themeColor="text1"/>
          <w:szCs w:val="24"/>
        </w:rPr>
        <w:lastRenderedPageBreak/>
        <w:t>examination performed by a specialist in clinical pathology)</w:t>
      </w:r>
      <w:r w:rsidR="00535DD3">
        <w:rPr>
          <w:rFonts w:cs="Times New Roman"/>
          <w:color w:val="000000" w:themeColor="text1"/>
          <w:szCs w:val="24"/>
        </w:rPr>
        <w:t>. All the cases included on the study should have available vaccination data up to two years prior to developing MUO</w:t>
      </w:r>
    </w:p>
    <w:p w14:paraId="761AF17C" w14:textId="117F91D5"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All dogs underwent MRI using a 0.4 T magnet (Hitachi APERTO Grande, Hitachi Medical Systems,</w:t>
      </w:r>
      <w:r w:rsidRPr="00AA5933">
        <w:rPr>
          <w:rFonts w:cs="Times New Roman"/>
          <w:szCs w:val="24"/>
        </w:rPr>
        <w:t xml:space="preserve"> </w:t>
      </w:r>
      <w:proofErr w:type="spellStart"/>
      <w:r w:rsidRPr="00AA5933">
        <w:rPr>
          <w:rFonts w:cs="Times New Roman"/>
          <w:color w:val="000000" w:themeColor="text1"/>
          <w:szCs w:val="24"/>
        </w:rPr>
        <w:t>Steinhausen</w:t>
      </w:r>
      <w:proofErr w:type="spellEnd"/>
      <w:r w:rsidRPr="00AA5933">
        <w:rPr>
          <w:rFonts w:cs="Times New Roman"/>
          <w:color w:val="000000" w:themeColor="text1"/>
          <w:szCs w:val="24"/>
        </w:rPr>
        <w:t>, Switzerland)</w:t>
      </w:r>
      <w:r w:rsidR="001104B5">
        <w:rPr>
          <w:rFonts w:cs="Times New Roman"/>
          <w:color w:val="000000" w:themeColor="text1"/>
          <w:szCs w:val="24"/>
        </w:rPr>
        <w:t>,</w:t>
      </w:r>
      <w:r w:rsidR="00D916B0">
        <w:rPr>
          <w:rFonts w:cs="Times New Roman"/>
          <w:color w:val="000000" w:themeColor="text1"/>
          <w:szCs w:val="24"/>
        </w:rPr>
        <w:t xml:space="preserve"> a 1T magnet (Siemens MAGNETOM </w:t>
      </w:r>
      <w:r w:rsidR="000161E2">
        <w:rPr>
          <w:rFonts w:cs="Times New Roman"/>
          <w:color w:val="000000" w:themeColor="text1"/>
          <w:szCs w:val="24"/>
        </w:rPr>
        <w:t>Harmony,</w:t>
      </w:r>
      <w:r w:rsidR="00D916B0">
        <w:rPr>
          <w:rFonts w:cs="Times New Roman"/>
          <w:color w:val="000000" w:themeColor="text1"/>
          <w:szCs w:val="24"/>
        </w:rPr>
        <w:t xml:space="preserve"> Siemens Medical Solutions, Malvern, USA)</w:t>
      </w:r>
      <w:r w:rsidR="001104B5">
        <w:rPr>
          <w:rFonts w:cs="Times New Roman"/>
          <w:color w:val="000000" w:themeColor="text1"/>
          <w:szCs w:val="24"/>
        </w:rPr>
        <w:t xml:space="preserve"> or a 1,5T magnet (Siemens MAGNETOM Symphony, Siemens Medical solutions, </w:t>
      </w:r>
      <w:proofErr w:type="gramStart"/>
      <w:r w:rsidR="001104B5">
        <w:rPr>
          <w:rFonts w:cs="Times New Roman"/>
          <w:color w:val="000000" w:themeColor="text1"/>
          <w:szCs w:val="24"/>
        </w:rPr>
        <w:t>Malvern ,USA</w:t>
      </w:r>
      <w:proofErr w:type="gramEnd"/>
      <w:r w:rsidR="001104B5">
        <w:rPr>
          <w:rFonts w:cs="Times New Roman"/>
          <w:color w:val="000000" w:themeColor="text1"/>
          <w:szCs w:val="24"/>
        </w:rPr>
        <w:t>)</w:t>
      </w:r>
      <w:r w:rsidRPr="00AA5933">
        <w:rPr>
          <w:rFonts w:cs="Times New Roman"/>
          <w:color w:val="000000" w:themeColor="text1"/>
          <w:szCs w:val="24"/>
        </w:rPr>
        <w:t xml:space="preserve"> and the images were reviewed by a specialist in veterinary diagnostic imaging. MR sequences varied, but always included dorsal, sagittal and transverse T2-weighted images, transverse T2-fluid attenuated inversion recovery and T1-weighted images before and after paramagnetic contrast injection of </w:t>
      </w:r>
      <w:proofErr w:type="spellStart"/>
      <w:r w:rsidRPr="00AA5933">
        <w:rPr>
          <w:rFonts w:cs="Times New Roman"/>
          <w:color w:val="000000" w:themeColor="text1"/>
          <w:szCs w:val="24"/>
        </w:rPr>
        <w:t>gadobutrol</w:t>
      </w:r>
      <w:proofErr w:type="spellEnd"/>
      <w:r w:rsidRPr="00AA5933">
        <w:rPr>
          <w:rFonts w:cs="Times New Roman"/>
          <w:color w:val="000000" w:themeColor="text1"/>
          <w:szCs w:val="24"/>
        </w:rPr>
        <w:t xml:space="preserve"> (</w:t>
      </w:r>
      <w:proofErr w:type="spellStart"/>
      <w:r w:rsidRPr="00AA5933">
        <w:rPr>
          <w:rFonts w:cs="Times New Roman"/>
          <w:color w:val="000000" w:themeColor="text1"/>
          <w:szCs w:val="24"/>
        </w:rPr>
        <w:t>Gadovist</w:t>
      </w:r>
      <w:proofErr w:type="spellEnd"/>
      <w:r w:rsidRPr="00AA5933">
        <w:rPr>
          <w:rFonts w:cs="Times New Roman"/>
          <w:color w:val="000000" w:themeColor="text1"/>
          <w:szCs w:val="24"/>
        </w:rPr>
        <w:t>, 1.0 mmol/ml solution, Bayer AG, Germany)</w:t>
      </w:r>
      <w:r w:rsidRPr="00AA5933">
        <w:rPr>
          <w:rStyle w:val="Rimandocommento"/>
          <w:rFonts w:eastAsiaTheme="minorEastAsia" w:cs="Times New Roman"/>
          <w:sz w:val="24"/>
          <w:szCs w:val="24"/>
        </w:rPr>
        <w:t>.</w:t>
      </w:r>
    </w:p>
    <w:p w14:paraId="02AF1F8E" w14:textId="2ACE8720" w:rsidR="00AA5933" w:rsidRPr="00AA5933" w:rsidRDefault="00FF64B5" w:rsidP="00AA5933">
      <w:pPr>
        <w:jc w:val="both"/>
        <w:rPr>
          <w:rFonts w:cs="Times New Roman"/>
          <w:color w:val="000000" w:themeColor="text1"/>
          <w:szCs w:val="24"/>
          <w:vertAlign w:val="superscript"/>
        </w:rPr>
      </w:pPr>
      <w:r>
        <w:rPr>
          <w:rFonts w:cs="Times New Roman"/>
          <w:color w:val="000000" w:themeColor="text1"/>
          <w:szCs w:val="24"/>
        </w:rPr>
        <w:t xml:space="preserve">Exclusion criteria were </w:t>
      </w:r>
      <w:r w:rsidR="00AA5933" w:rsidRPr="00AA5933">
        <w:rPr>
          <w:rFonts w:cs="Times New Roman"/>
          <w:color w:val="000000" w:themeColor="text1"/>
          <w:szCs w:val="24"/>
        </w:rPr>
        <w:t>dogs showing clinical signs compatible with only optic neuritis</w:t>
      </w:r>
      <w:r w:rsidR="00535DD3">
        <w:rPr>
          <w:rFonts w:cs="Times New Roman"/>
          <w:color w:val="000000" w:themeColor="text1"/>
          <w:szCs w:val="24"/>
        </w:rPr>
        <w:t>.</w:t>
      </w:r>
      <w:r w:rsidR="00AA5933" w:rsidRPr="00AA5933">
        <w:rPr>
          <w:rFonts w:cs="Times New Roman"/>
          <w:color w:val="000000" w:themeColor="text1"/>
          <w:szCs w:val="24"/>
        </w:rPr>
        <w:t xml:space="preserve"> </w:t>
      </w:r>
      <w:r w:rsidR="00535DD3">
        <w:rPr>
          <w:rFonts w:cs="Times New Roman"/>
          <w:color w:val="000000" w:themeColor="text1"/>
          <w:szCs w:val="24"/>
        </w:rPr>
        <w:t>D</w:t>
      </w:r>
      <w:r w:rsidR="00AA5933" w:rsidRPr="00AA5933">
        <w:rPr>
          <w:rFonts w:cs="Times New Roman"/>
          <w:color w:val="000000" w:themeColor="text1"/>
          <w:szCs w:val="24"/>
        </w:rPr>
        <w:t>ogs with clinical signs, MRI findings and CSF analysis suggestive of meningomyelitis (rather than meningoencephalitis</w:t>
      </w:r>
      <w:proofErr w:type="gramStart"/>
      <w:r w:rsidR="00AA5933" w:rsidRPr="00AA5933">
        <w:rPr>
          <w:rFonts w:cs="Times New Roman"/>
          <w:color w:val="000000" w:themeColor="text1"/>
          <w:szCs w:val="24"/>
        </w:rPr>
        <w:t xml:space="preserve">) </w:t>
      </w:r>
      <w:r w:rsidR="00535DD3">
        <w:rPr>
          <w:rFonts w:cs="Times New Roman"/>
          <w:color w:val="000000" w:themeColor="text1"/>
          <w:szCs w:val="24"/>
        </w:rPr>
        <w:t>,</w:t>
      </w:r>
      <w:r w:rsidR="00AA5933" w:rsidRPr="00AA5933">
        <w:rPr>
          <w:rFonts w:cs="Times New Roman"/>
          <w:color w:val="000000" w:themeColor="text1"/>
          <w:szCs w:val="24"/>
        </w:rPr>
        <w:t>eosinophilic</w:t>
      </w:r>
      <w:proofErr w:type="gramEnd"/>
      <w:r w:rsidR="00AA5933" w:rsidRPr="00AA5933">
        <w:rPr>
          <w:rFonts w:cs="Times New Roman"/>
          <w:color w:val="000000" w:themeColor="text1"/>
          <w:szCs w:val="24"/>
        </w:rPr>
        <w:t xml:space="preserve"> meningoencephalitis</w:t>
      </w:r>
      <w:r w:rsidR="00535DD3">
        <w:rPr>
          <w:rFonts w:cs="Times New Roman"/>
          <w:color w:val="000000" w:themeColor="text1"/>
          <w:szCs w:val="24"/>
        </w:rPr>
        <w:t xml:space="preserve"> as these entity has been suspected to have a </w:t>
      </w:r>
      <w:r w:rsidR="003D6679">
        <w:rPr>
          <w:rFonts w:cs="Times New Roman"/>
          <w:color w:val="000000" w:themeColor="text1"/>
          <w:szCs w:val="24"/>
        </w:rPr>
        <w:t>different physiopathology</w:t>
      </w:r>
      <w:r w:rsidR="00535DD3">
        <w:rPr>
          <w:rFonts w:cs="Times New Roman"/>
          <w:color w:val="000000" w:themeColor="text1"/>
          <w:szCs w:val="24"/>
        </w:rPr>
        <w:t>.</w:t>
      </w:r>
      <w:r w:rsidR="00AA5933" w:rsidRPr="00AA5933">
        <w:rPr>
          <w:rFonts w:cs="Times New Roman"/>
          <w:color w:val="000000" w:themeColor="text1"/>
          <w:szCs w:val="24"/>
        </w:rPr>
        <w:t xml:space="preserve"> </w:t>
      </w:r>
      <w:r w:rsidR="00535DD3">
        <w:rPr>
          <w:rFonts w:cs="Times New Roman"/>
          <w:color w:val="000000" w:themeColor="text1"/>
          <w:szCs w:val="24"/>
        </w:rPr>
        <w:t>D</w:t>
      </w:r>
      <w:r w:rsidR="00AA5933" w:rsidRPr="00AA5933">
        <w:rPr>
          <w:rFonts w:cs="Times New Roman"/>
          <w:color w:val="000000" w:themeColor="text1"/>
          <w:szCs w:val="24"/>
        </w:rPr>
        <w:t xml:space="preserve">ogs with MRI studies that did not display characteristic lesions (T2-weighted hyperintensity with single or multifocal lesions with or without meningeal </w:t>
      </w:r>
      <w:proofErr w:type="gramStart"/>
      <w:r w:rsidR="00482B73" w:rsidRPr="00AA5933">
        <w:rPr>
          <w:rFonts w:cs="Times New Roman"/>
          <w:color w:val="000000" w:themeColor="text1"/>
          <w:szCs w:val="24"/>
        </w:rPr>
        <w:t>enhancement</w:t>
      </w:r>
      <w:r w:rsidR="00535DD3">
        <w:rPr>
          <w:rFonts w:cs="Times New Roman"/>
          <w:color w:val="000000" w:themeColor="text1"/>
          <w:szCs w:val="24"/>
        </w:rPr>
        <w:t>)</w:t>
      </w:r>
      <w:r w:rsidR="00482B73">
        <w:rPr>
          <w:rFonts w:cs="Times New Roman"/>
          <w:color w:val="000000" w:themeColor="text1"/>
          <w:szCs w:val="24"/>
        </w:rPr>
        <w:t>(</w:t>
      </w:r>
      <w:proofErr w:type="gramEnd"/>
      <w:r w:rsidR="00532248">
        <w:rPr>
          <w:rFonts w:cs="Times New Roman"/>
          <w:color w:val="000000" w:themeColor="text1"/>
          <w:szCs w:val="24"/>
        </w:rPr>
        <w:t xml:space="preserve">4) </w:t>
      </w:r>
      <w:r w:rsidR="00AA5933" w:rsidRPr="00AA5933">
        <w:rPr>
          <w:rFonts w:cs="Times New Roman"/>
          <w:color w:val="000000" w:themeColor="text1"/>
          <w:szCs w:val="24"/>
        </w:rPr>
        <w:t xml:space="preserve">and </w:t>
      </w:r>
      <w:r w:rsidR="00535DD3">
        <w:rPr>
          <w:rFonts w:cs="Times New Roman"/>
          <w:color w:val="000000" w:themeColor="text1"/>
          <w:szCs w:val="24"/>
        </w:rPr>
        <w:t xml:space="preserve">finally all cases </w:t>
      </w:r>
      <w:r w:rsidR="00AA5933" w:rsidRPr="00AA5933">
        <w:rPr>
          <w:rFonts w:cs="Times New Roman"/>
          <w:color w:val="000000" w:themeColor="text1"/>
          <w:szCs w:val="24"/>
        </w:rPr>
        <w:t xml:space="preserve"> </w:t>
      </w:r>
      <w:r>
        <w:rPr>
          <w:rFonts w:cs="Times New Roman"/>
          <w:color w:val="000000" w:themeColor="text1"/>
          <w:szCs w:val="24"/>
        </w:rPr>
        <w:t>for which</w:t>
      </w:r>
      <w:r w:rsidR="00AA5933" w:rsidRPr="00AA5933">
        <w:rPr>
          <w:rFonts w:cs="Times New Roman"/>
          <w:color w:val="000000" w:themeColor="text1"/>
          <w:szCs w:val="24"/>
        </w:rPr>
        <w:t xml:space="preserve"> data regarding vaccination history</w:t>
      </w:r>
      <w:r>
        <w:rPr>
          <w:rFonts w:cs="Times New Roman"/>
          <w:color w:val="000000" w:themeColor="text1"/>
          <w:szCs w:val="24"/>
        </w:rPr>
        <w:t xml:space="preserve"> were unavailable</w:t>
      </w:r>
      <w:r w:rsidR="00AA5933" w:rsidRPr="00AA5933">
        <w:rPr>
          <w:rFonts w:cs="Times New Roman"/>
          <w:color w:val="000000" w:themeColor="text1"/>
          <w:szCs w:val="24"/>
        </w:rPr>
        <w:t>.</w:t>
      </w:r>
    </w:p>
    <w:p w14:paraId="135A47A8" w14:textId="1DEA7078"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Fifty-six dogs with suspected diagnosis of MUO were originally included and the cases were distributed</w:t>
      </w:r>
      <w:r w:rsidR="00BB6FCF">
        <w:rPr>
          <w:rFonts w:cs="Times New Roman"/>
          <w:color w:val="000000" w:themeColor="text1"/>
          <w:szCs w:val="24"/>
        </w:rPr>
        <w:t xml:space="preserve"> based on the vaccination availability</w:t>
      </w:r>
      <w:r w:rsidRPr="00AA5933">
        <w:rPr>
          <w:rFonts w:cs="Times New Roman"/>
          <w:color w:val="000000" w:themeColor="text1"/>
          <w:szCs w:val="24"/>
        </w:rPr>
        <w:t xml:space="preserve"> in two groups to approach the hypothesis using two different statistical methods.</w:t>
      </w:r>
      <w:r w:rsidR="009778ED">
        <w:rPr>
          <w:rFonts w:cs="Times New Roman"/>
          <w:color w:val="000000" w:themeColor="text1"/>
          <w:szCs w:val="24"/>
        </w:rPr>
        <w:t xml:space="preserve"> The diseases against being immunized had not been taken in consideration. The only consideration was the date of the vaccination.</w:t>
      </w:r>
    </w:p>
    <w:p w14:paraId="68A62071" w14:textId="0B92A78B"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 xml:space="preserve">We identified all dogs that had been vaccinated within the 365 days antecedent to diagnosis.  </w:t>
      </w:r>
      <w:r w:rsidR="000264BB">
        <w:rPr>
          <w:rFonts w:cs="Times New Roman"/>
          <w:color w:val="000000" w:themeColor="text1"/>
          <w:szCs w:val="24"/>
        </w:rPr>
        <w:t>D</w:t>
      </w:r>
      <w:r w:rsidRPr="00AA5933">
        <w:rPr>
          <w:rFonts w:cs="Times New Roman"/>
          <w:color w:val="000000" w:themeColor="text1"/>
          <w:szCs w:val="24"/>
        </w:rPr>
        <w:t>ogs</w:t>
      </w:r>
      <w:r w:rsidR="000264BB">
        <w:rPr>
          <w:rFonts w:cs="Times New Roman"/>
          <w:color w:val="000000" w:themeColor="text1"/>
          <w:szCs w:val="24"/>
        </w:rPr>
        <w:t xml:space="preserve"> were grouped</w:t>
      </w:r>
      <w:r w:rsidRPr="00AA5933">
        <w:rPr>
          <w:rFonts w:cs="Times New Roman"/>
          <w:color w:val="000000" w:themeColor="text1"/>
          <w:szCs w:val="24"/>
        </w:rPr>
        <w:t xml:space="preserve"> by time from vaccination to diagnosis into 2-month groups</w:t>
      </w:r>
      <w:r w:rsidR="003A24CE">
        <w:rPr>
          <w:rFonts w:cs="Times New Roman"/>
          <w:color w:val="000000" w:themeColor="text1"/>
          <w:szCs w:val="24"/>
        </w:rPr>
        <w:t xml:space="preserve"> (</w:t>
      </w:r>
      <w:r w:rsidRPr="00AA5933">
        <w:rPr>
          <w:rFonts w:cs="Times New Roman"/>
          <w:color w:val="000000" w:themeColor="text1"/>
          <w:szCs w:val="24"/>
        </w:rPr>
        <w:t xml:space="preserve">under the </w:t>
      </w:r>
      <w:r w:rsidR="000264BB">
        <w:rPr>
          <w:rFonts w:cs="Times New Roman"/>
          <w:color w:val="000000" w:themeColor="text1"/>
          <w:szCs w:val="24"/>
        </w:rPr>
        <w:t>hypothesis</w:t>
      </w:r>
      <w:r w:rsidR="000264BB" w:rsidRPr="00AA5933">
        <w:rPr>
          <w:rFonts w:cs="Times New Roman"/>
          <w:color w:val="000000" w:themeColor="text1"/>
          <w:szCs w:val="24"/>
        </w:rPr>
        <w:t xml:space="preserve"> </w:t>
      </w:r>
      <w:r w:rsidRPr="00AA5933">
        <w:rPr>
          <w:rFonts w:cs="Times New Roman"/>
          <w:color w:val="000000" w:themeColor="text1"/>
          <w:szCs w:val="24"/>
        </w:rPr>
        <w:t xml:space="preserve">that immune triggering </w:t>
      </w:r>
      <w:r w:rsidR="000264BB">
        <w:rPr>
          <w:rFonts w:cs="Times New Roman"/>
          <w:color w:val="000000" w:themeColor="text1"/>
          <w:szCs w:val="24"/>
        </w:rPr>
        <w:t>likely</w:t>
      </w:r>
      <w:r w:rsidR="000264BB" w:rsidRPr="00AA5933">
        <w:rPr>
          <w:rFonts w:cs="Times New Roman"/>
          <w:color w:val="000000" w:themeColor="text1"/>
          <w:szCs w:val="24"/>
        </w:rPr>
        <w:t xml:space="preserve"> </w:t>
      </w:r>
      <w:r w:rsidRPr="00AA5933">
        <w:rPr>
          <w:rFonts w:cs="Times New Roman"/>
          <w:color w:val="000000" w:themeColor="text1"/>
          <w:szCs w:val="24"/>
        </w:rPr>
        <w:t>occur</w:t>
      </w:r>
      <w:r w:rsidR="000264BB">
        <w:rPr>
          <w:rFonts w:cs="Times New Roman"/>
          <w:color w:val="000000" w:themeColor="text1"/>
          <w:szCs w:val="24"/>
        </w:rPr>
        <w:t>s</w:t>
      </w:r>
      <w:r w:rsidRPr="00AA5933">
        <w:rPr>
          <w:rFonts w:cs="Times New Roman"/>
          <w:color w:val="000000" w:themeColor="text1"/>
          <w:szCs w:val="24"/>
        </w:rPr>
        <w:t xml:space="preserve"> mostly within the immediate 2-month window following vaccination</w:t>
      </w:r>
      <w:r w:rsidR="003A24CE">
        <w:rPr>
          <w:rFonts w:cs="Times New Roman"/>
          <w:color w:val="000000" w:themeColor="text1"/>
          <w:szCs w:val="24"/>
        </w:rPr>
        <w:t>)</w:t>
      </w:r>
      <w:r w:rsidRPr="00AA5933">
        <w:rPr>
          <w:rFonts w:cs="Times New Roman"/>
          <w:color w:val="000000" w:themeColor="text1"/>
          <w:szCs w:val="24"/>
        </w:rPr>
        <w:t xml:space="preserve">.  </w:t>
      </w:r>
      <w:r w:rsidR="000264BB">
        <w:rPr>
          <w:rFonts w:cs="Times New Roman"/>
          <w:color w:val="000000" w:themeColor="text1"/>
          <w:szCs w:val="24"/>
        </w:rPr>
        <w:t>A</w:t>
      </w:r>
      <w:r w:rsidRPr="00AA5933">
        <w:rPr>
          <w:rFonts w:cs="Times New Roman"/>
          <w:color w:val="000000" w:themeColor="text1"/>
          <w:szCs w:val="24"/>
        </w:rPr>
        <w:t xml:space="preserve">ll 2-month windows </w:t>
      </w:r>
      <w:r w:rsidR="000264BB">
        <w:rPr>
          <w:rFonts w:cs="Times New Roman"/>
          <w:color w:val="000000" w:themeColor="text1"/>
          <w:szCs w:val="24"/>
        </w:rPr>
        <w:t xml:space="preserve">were then compared </w:t>
      </w:r>
      <w:r w:rsidRPr="00AA5933">
        <w:rPr>
          <w:rFonts w:cs="Times New Roman"/>
          <w:color w:val="000000" w:themeColor="text1"/>
          <w:szCs w:val="24"/>
        </w:rPr>
        <w:t>using two approaches</w:t>
      </w:r>
      <w:r w:rsidR="000264BB">
        <w:rPr>
          <w:rFonts w:cs="Times New Roman"/>
          <w:color w:val="000000" w:themeColor="text1"/>
          <w:szCs w:val="24"/>
        </w:rPr>
        <w:t>:</w:t>
      </w:r>
      <w:r w:rsidRPr="00AA5933">
        <w:rPr>
          <w:rFonts w:cs="Times New Roman"/>
          <w:color w:val="000000" w:themeColor="text1"/>
          <w:szCs w:val="24"/>
        </w:rPr>
        <w:t xml:space="preserve">  </w:t>
      </w:r>
      <w:r w:rsidR="003A24CE">
        <w:rPr>
          <w:rFonts w:cs="Times New Roman"/>
          <w:color w:val="000000" w:themeColor="text1"/>
          <w:szCs w:val="24"/>
        </w:rPr>
        <w:t>F</w:t>
      </w:r>
      <w:r w:rsidR="00482B73" w:rsidRPr="00AA5933">
        <w:rPr>
          <w:rFonts w:cs="Times New Roman"/>
          <w:color w:val="000000" w:themeColor="text1"/>
          <w:szCs w:val="24"/>
        </w:rPr>
        <w:t>irst, a</w:t>
      </w:r>
      <w:r w:rsidRPr="00AA5933">
        <w:rPr>
          <w:rFonts w:cs="Times New Roman"/>
          <w:color w:val="000000" w:themeColor="text1"/>
          <w:szCs w:val="24"/>
        </w:rPr>
        <w:t xml:space="preserve"> Kolmogorov-Smirnov one sample test</w:t>
      </w:r>
      <w:r w:rsidR="000264BB">
        <w:rPr>
          <w:rFonts w:cs="Times New Roman"/>
          <w:color w:val="000000" w:themeColor="text1"/>
          <w:szCs w:val="24"/>
        </w:rPr>
        <w:t xml:space="preserve"> which</w:t>
      </w:r>
      <w:r w:rsidRPr="00AA5933">
        <w:rPr>
          <w:rFonts w:cs="Times New Roman"/>
          <w:color w:val="000000" w:themeColor="text1"/>
          <w:szCs w:val="24"/>
        </w:rPr>
        <w:t xml:space="preserve"> is a “goodness of fit” test for a set of events against a theoretical distribution.  In </w:t>
      </w:r>
      <w:r w:rsidR="000264BB">
        <w:rPr>
          <w:rFonts w:cs="Times New Roman"/>
          <w:color w:val="000000" w:themeColor="text1"/>
          <w:szCs w:val="24"/>
        </w:rPr>
        <w:t>this</w:t>
      </w:r>
      <w:r w:rsidR="000264BB" w:rsidRPr="00AA5933">
        <w:rPr>
          <w:rFonts w:cs="Times New Roman"/>
          <w:color w:val="000000" w:themeColor="text1"/>
          <w:szCs w:val="24"/>
        </w:rPr>
        <w:t xml:space="preserve"> </w:t>
      </w:r>
      <w:r w:rsidRPr="00AA5933">
        <w:rPr>
          <w:rFonts w:cs="Times New Roman"/>
          <w:color w:val="000000" w:themeColor="text1"/>
          <w:szCs w:val="24"/>
        </w:rPr>
        <w:t>case</w:t>
      </w:r>
      <w:r w:rsidR="003A24CE">
        <w:rPr>
          <w:rFonts w:cs="Times New Roman"/>
          <w:color w:val="000000" w:themeColor="text1"/>
          <w:szCs w:val="24"/>
        </w:rPr>
        <w:t xml:space="preserve"> (</w:t>
      </w:r>
      <w:r w:rsidRPr="00AA5933">
        <w:rPr>
          <w:rFonts w:cs="Times New Roman"/>
          <w:color w:val="000000" w:themeColor="text1"/>
          <w:szCs w:val="24"/>
        </w:rPr>
        <w:t>under the null hypothesis</w:t>
      </w:r>
      <w:r w:rsidR="000264BB">
        <w:rPr>
          <w:rFonts w:cs="Times New Roman"/>
          <w:color w:val="000000" w:themeColor="text1"/>
          <w:szCs w:val="24"/>
        </w:rPr>
        <w:t xml:space="preserve"> that vaccination is causally unrelated to the development of </w:t>
      </w:r>
      <w:proofErr w:type="gramStart"/>
      <w:r w:rsidR="000264BB">
        <w:rPr>
          <w:rFonts w:cs="Times New Roman"/>
          <w:color w:val="000000" w:themeColor="text1"/>
          <w:szCs w:val="24"/>
        </w:rPr>
        <w:t>MUO</w:t>
      </w:r>
      <w:r w:rsidR="003A24CE">
        <w:rPr>
          <w:rFonts w:cs="Times New Roman"/>
          <w:color w:val="000000" w:themeColor="text1"/>
          <w:szCs w:val="24"/>
        </w:rPr>
        <w:t xml:space="preserve">) </w:t>
      </w:r>
      <w:r w:rsidRPr="00AA5933">
        <w:rPr>
          <w:rFonts w:cs="Times New Roman"/>
          <w:color w:val="000000" w:themeColor="text1"/>
          <w:szCs w:val="24"/>
        </w:rPr>
        <w:t xml:space="preserve"> each</w:t>
      </w:r>
      <w:proofErr w:type="gramEnd"/>
      <w:r w:rsidRPr="00AA5933">
        <w:rPr>
          <w:rFonts w:cs="Times New Roman"/>
          <w:color w:val="000000" w:themeColor="text1"/>
          <w:szCs w:val="24"/>
        </w:rPr>
        <w:t xml:space="preserve"> 2-month window </w:t>
      </w:r>
      <w:r w:rsidR="000264BB">
        <w:rPr>
          <w:rFonts w:cs="Times New Roman"/>
          <w:color w:val="000000" w:themeColor="text1"/>
          <w:szCs w:val="24"/>
        </w:rPr>
        <w:t>should</w:t>
      </w:r>
      <w:r w:rsidRPr="00AA5933">
        <w:rPr>
          <w:rFonts w:cs="Times New Roman"/>
          <w:color w:val="000000" w:themeColor="text1"/>
          <w:szCs w:val="24"/>
        </w:rPr>
        <w:t xml:space="preserve"> have a similar proportion of </w:t>
      </w:r>
      <w:proofErr w:type="spellStart"/>
      <w:r w:rsidRPr="00AA5933">
        <w:rPr>
          <w:rFonts w:cs="Times New Roman"/>
          <w:color w:val="000000" w:themeColor="text1"/>
          <w:szCs w:val="24"/>
        </w:rPr>
        <w:t>diagnoses</w:t>
      </w:r>
      <w:r w:rsidR="00AB5513">
        <w:rPr>
          <w:rFonts w:cs="Times New Roman"/>
          <w:color w:val="000000" w:themeColor="text1"/>
          <w:szCs w:val="24"/>
        </w:rPr>
        <w:t>.</w:t>
      </w:r>
      <w:r w:rsidR="003A24CE">
        <w:rPr>
          <w:rFonts w:cs="Times New Roman"/>
          <w:color w:val="000000" w:themeColor="text1"/>
          <w:szCs w:val="24"/>
        </w:rPr>
        <w:t>T</w:t>
      </w:r>
      <w:r w:rsidRPr="00AA5933">
        <w:rPr>
          <w:rFonts w:cs="Times New Roman"/>
          <w:color w:val="000000" w:themeColor="text1"/>
          <w:szCs w:val="24"/>
        </w:rPr>
        <w:t>herefore</w:t>
      </w:r>
      <w:proofErr w:type="spellEnd"/>
      <w:r w:rsidRPr="00AA5933">
        <w:rPr>
          <w:rFonts w:cs="Times New Roman"/>
          <w:color w:val="000000" w:themeColor="text1"/>
          <w:szCs w:val="24"/>
        </w:rPr>
        <w:t xml:space="preserve">, each 2-month window would account for </w:t>
      </w:r>
      <w:r w:rsidR="000264BB">
        <w:rPr>
          <w:rFonts w:cs="Times New Roman"/>
          <w:color w:val="000000" w:themeColor="text1"/>
          <w:szCs w:val="24"/>
        </w:rPr>
        <w:t xml:space="preserve">approximately </w:t>
      </w:r>
      <w:r w:rsidRPr="00AA5933">
        <w:rPr>
          <w:rFonts w:cs="Times New Roman"/>
          <w:color w:val="000000" w:themeColor="text1"/>
          <w:szCs w:val="24"/>
        </w:rPr>
        <w:t>16.7% of the cases. We used an online calculator to perform this analysis (</w:t>
      </w:r>
      <w:hyperlink r:id="rId9" w:history="1">
        <w:r w:rsidRPr="00AA5933">
          <w:rPr>
            <w:rStyle w:val="Collegamentoipertestuale"/>
            <w:rFonts w:cs="Times New Roman"/>
            <w:szCs w:val="24"/>
          </w:rPr>
          <w:t>http://vassarstats.net/ksm.html</w:t>
        </w:r>
      </w:hyperlink>
      <w:r w:rsidRPr="00AA5933">
        <w:rPr>
          <w:rFonts w:cs="Times New Roman"/>
          <w:color w:val="000000" w:themeColor="text1"/>
          <w:szCs w:val="24"/>
        </w:rPr>
        <w:t>, accessed on July 21, 2020).</w:t>
      </w:r>
    </w:p>
    <w:p w14:paraId="4837842A" w14:textId="14323C44"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 xml:space="preserve">We then examined each 2-month window independently using </w:t>
      </w:r>
      <w:r w:rsidR="000264BB">
        <w:rPr>
          <w:rFonts w:cs="Times New Roman"/>
          <w:color w:val="000000" w:themeColor="text1"/>
          <w:szCs w:val="24"/>
        </w:rPr>
        <w:t>the Clopper-Pearson exact confidence interval for a</w:t>
      </w:r>
      <w:r w:rsidRPr="00AA5933">
        <w:rPr>
          <w:rFonts w:cs="Times New Roman"/>
          <w:color w:val="000000" w:themeColor="text1"/>
          <w:szCs w:val="24"/>
        </w:rPr>
        <w:t xml:space="preserve"> proportion.  In this analysis, we examined the number of cases vaccinated in a 2-month window against the entire </w:t>
      </w:r>
      <w:r w:rsidR="000264BB">
        <w:rPr>
          <w:rFonts w:cs="Times New Roman"/>
          <w:color w:val="000000" w:themeColor="text1"/>
          <w:szCs w:val="24"/>
        </w:rPr>
        <w:t xml:space="preserve">study </w:t>
      </w:r>
      <w:r w:rsidRPr="00AA5933">
        <w:rPr>
          <w:rFonts w:cs="Times New Roman"/>
          <w:color w:val="000000" w:themeColor="text1"/>
          <w:szCs w:val="24"/>
        </w:rPr>
        <w:t xml:space="preserve">population to create a proportion, and compared each one independently against a theoretical proportion of 0.167.  </w:t>
      </w:r>
      <w:r w:rsidR="000264BB">
        <w:rPr>
          <w:rFonts w:cs="Times New Roman"/>
          <w:color w:val="000000" w:themeColor="text1"/>
          <w:szCs w:val="24"/>
        </w:rPr>
        <w:t>Both 95% and 99.17% confidence intervals were evaluated, the latter to account for increased familywise error rate</w:t>
      </w:r>
      <w:r w:rsidR="00EF0636">
        <w:rPr>
          <w:rFonts w:cs="Times New Roman"/>
          <w:color w:val="000000" w:themeColor="text1"/>
          <w:szCs w:val="24"/>
        </w:rPr>
        <w:t xml:space="preserve">. As an exact method, Clopper-Pearson interval calculation is preferred to asymptotic estimation methods when using small sample sizes, and produces relatively conservative estimates. </w:t>
      </w:r>
      <w:r w:rsidR="00FE65A0">
        <w:rPr>
          <w:rFonts w:cs="Times New Roman"/>
          <w:color w:val="000000" w:themeColor="text1"/>
          <w:szCs w:val="24"/>
        </w:rPr>
        <w:t>A confidence interval that does not include the proportion expected under the null hypothesis (i.e., 0.167) is analogous to a statistically significant difference from the expected proportion at the specified alpha level (0.05 for a 95% confidence interval, 0.0083 for a 99.17% confidence interval</w:t>
      </w:r>
      <w:r w:rsidR="00482B73">
        <w:rPr>
          <w:rFonts w:cs="Times New Roman"/>
          <w:color w:val="000000" w:themeColor="text1"/>
          <w:szCs w:val="24"/>
        </w:rPr>
        <w:t>). This</w:t>
      </w:r>
      <w:r w:rsidR="00EF0636">
        <w:rPr>
          <w:rFonts w:cs="Times New Roman"/>
          <w:color w:val="000000" w:themeColor="text1"/>
          <w:szCs w:val="24"/>
        </w:rPr>
        <w:t xml:space="preserve"> analysis was performed using commercially available statistical software </w:t>
      </w:r>
      <w:r w:rsidRPr="00AA5933">
        <w:rPr>
          <w:rFonts w:cs="Times New Roman"/>
          <w:color w:val="000000" w:themeColor="text1"/>
          <w:szCs w:val="24"/>
        </w:rPr>
        <w:t>(</w:t>
      </w:r>
      <w:r w:rsidR="00EF0636">
        <w:rPr>
          <w:rFonts w:cs="Times New Roman"/>
          <w:color w:val="000000" w:themeColor="text1"/>
          <w:szCs w:val="24"/>
        </w:rPr>
        <w:t>SAS 9.4</w:t>
      </w:r>
      <w:r w:rsidRPr="00AA5933">
        <w:rPr>
          <w:rFonts w:cs="Times New Roman"/>
          <w:color w:val="000000" w:themeColor="text1"/>
          <w:szCs w:val="24"/>
        </w:rPr>
        <w:t>)</w:t>
      </w:r>
      <w:r w:rsidRPr="00AA5933" w:rsidDel="006018C8">
        <w:rPr>
          <w:rFonts w:cs="Times New Roman"/>
          <w:color w:val="000000" w:themeColor="text1"/>
          <w:szCs w:val="24"/>
        </w:rPr>
        <w:t xml:space="preserve"> </w:t>
      </w:r>
      <w:r w:rsidR="00532248">
        <w:rPr>
          <w:rFonts w:cs="Times New Roman"/>
          <w:color w:val="000000" w:themeColor="text1"/>
          <w:szCs w:val="24"/>
        </w:rPr>
        <w:t>(</w:t>
      </w:r>
      <w:r w:rsidR="000E1FE3">
        <w:rPr>
          <w:rFonts w:cs="Times New Roman"/>
          <w:color w:val="000000" w:themeColor="text1"/>
          <w:szCs w:val="24"/>
        </w:rPr>
        <w:t>15</w:t>
      </w:r>
      <w:r w:rsidR="00532248">
        <w:rPr>
          <w:rFonts w:cs="Times New Roman"/>
          <w:color w:val="000000" w:themeColor="text1"/>
          <w:szCs w:val="24"/>
        </w:rPr>
        <w:t>)</w:t>
      </w:r>
    </w:p>
    <w:p w14:paraId="14D6156E" w14:textId="0FC2B1D3" w:rsidR="00AA5933" w:rsidRPr="00AA5933" w:rsidRDefault="00AA5933" w:rsidP="00AA5933">
      <w:pPr>
        <w:jc w:val="both"/>
        <w:rPr>
          <w:rFonts w:cs="Times New Roman"/>
          <w:color w:val="000000" w:themeColor="text1"/>
          <w:szCs w:val="24"/>
        </w:rPr>
      </w:pPr>
      <w:r w:rsidRPr="00AA5933">
        <w:rPr>
          <w:rFonts w:cs="Times New Roman"/>
          <w:color w:val="000000" w:themeColor="text1"/>
          <w:szCs w:val="24"/>
        </w:rPr>
        <w:t>Next, a case-crossover analysis</w:t>
      </w:r>
      <w:r w:rsidR="00EF0636">
        <w:rPr>
          <w:rFonts w:cs="Times New Roman"/>
          <w:color w:val="000000" w:themeColor="text1"/>
          <w:szCs w:val="24"/>
        </w:rPr>
        <w:t xml:space="preserve"> was performed</w:t>
      </w:r>
      <w:r w:rsidRPr="00AA5933">
        <w:rPr>
          <w:rFonts w:cs="Times New Roman"/>
          <w:color w:val="000000" w:themeColor="text1"/>
          <w:szCs w:val="24"/>
        </w:rPr>
        <w:t xml:space="preserve">, as previously </w:t>
      </w:r>
      <w:r w:rsidR="00482B73" w:rsidRPr="00A041FC">
        <w:rPr>
          <w:rFonts w:cs="Times New Roman"/>
          <w:color w:val="000000" w:themeColor="text1"/>
          <w:szCs w:val="24"/>
        </w:rPr>
        <w:t>described. (</w:t>
      </w:r>
      <w:r w:rsidR="00A041FC" w:rsidRPr="00A041FC">
        <w:rPr>
          <w:rFonts w:cs="Times New Roman"/>
          <w:color w:val="000000" w:themeColor="text1"/>
          <w:szCs w:val="24"/>
        </w:rPr>
        <w:t>1</w:t>
      </w:r>
      <w:r w:rsidR="000E1FE3">
        <w:rPr>
          <w:rFonts w:cs="Times New Roman"/>
          <w:color w:val="000000" w:themeColor="text1"/>
          <w:szCs w:val="24"/>
        </w:rPr>
        <w:t>6</w:t>
      </w:r>
      <w:r w:rsidR="00A041FC" w:rsidRPr="00A041FC">
        <w:rPr>
          <w:rFonts w:cs="Times New Roman"/>
          <w:color w:val="000000" w:themeColor="text1"/>
          <w:szCs w:val="24"/>
        </w:rPr>
        <w:t>)</w:t>
      </w:r>
      <w:r w:rsidRPr="00A041FC">
        <w:rPr>
          <w:rFonts w:cs="Times New Roman"/>
          <w:color w:val="000000" w:themeColor="text1"/>
          <w:szCs w:val="24"/>
        </w:rPr>
        <w:t xml:space="preserve"> </w:t>
      </w:r>
      <w:r w:rsidRPr="00AA5933">
        <w:rPr>
          <w:rFonts w:cs="Times New Roman"/>
          <w:color w:val="000000" w:themeColor="text1"/>
          <w:szCs w:val="24"/>
        </w:rPr>
        <w:t xml:space="preserve">This type of analysis allows estimation of risk when a brief exposure causes a transient increase in the risk of a rare acute-onset outcome. The method compares the hazard of a dog having been vaccinated in a defined window of time leading up to the diagnosis of </w:t>
      </w:r>
      <w:r w:rsidR="00482B73" w:rsidRPr="00AA5933">
        <w:rPr>
          <w:rFonts w:cs="Times New Roman"/>
          <w:color w:val="000000" w:themeColor="text1"/>
          <w:szCs w:val="24"/>
        </w:rPr>
        <w:t>MUO</w:t>
      </w:r>
      <w:r w:rsidR="003D6679">
        <w:rPr>
          <w:rFonts w:cs="Times New Roman"/>
          <w:color w:val="000000" w:themeColor="text1"/>
          <w:szCs w:val="24"/>
        </w:rPr>
        <w:t xml:space="preserve"> </w:t>
      </w:r>
      <w:r w:rsidR="00482B73" w:rsidRPr="00AA5933">
        <w:rPr>
          <w:rFonts w:cs="Times New Roman"/>
          <w:color w:val="000000" w:themeColor="text1"/>
          <w:szCs w:val="24"/>
        </w:rPr>
        <w:t>to</w:t>
      </w:r>
      <w:r w:rsidRPr="00AA5933">
        <w:rPr>
          <w:rFonts w:cs="Times New Roman"/>
          <w:color w:val="000000" w:themeColor="text1"/>
          <w:szCs w:val="24"/>
        </w:rPr>
        <w:t xml:space="preserve"> the hazard of having been vaccinated in a historical </w:t>
      </w:r>
      <w:r w:rsidRPr="00AA5933">
        <w:rPr>
          <w:rFonts w:cs="Times New Roman"/>
          <w:color w:val="000000" w:themeColor="text1"/>
          <w:szCs w:val="24"/>
        </w:rPr>
        <w:lastRenderedPageBreak/>
        <w:t xml:space="preserve">window of time when the patient did not develop disease. The comparison window was defined as one year prior to the case window (i.e., the window leading up to the diagnosis of MUO). We examined a subset of our sample population, with sufficient vaccination history data, to determine the risk of developing MUO within a window of </w:t>
      </w:r>
      <w:r w:rsidR="00482B73" w:rsidRPr="00AA5933">
        <w:rPr>
          <w:rFonts w:cs="Times New Roman"/>
          <w:color w:val="000000" w:themeColor="text1"/>
          <w:szCs w:val="24"/>
        </w:rPr>
        <w:t>30</w:t>
      </w:r>
      <w:r w:rsidR="00482B73">
        <w:rPr>
          <w:rFonts w:cs="Times New Roman"/>
          <w:color w:val="000000" w:themeColor="text1"/>
          <w:szCs w:val="24"/>
        </w:rPr>
        <w:t>,</w:t>
      </w:r>
      <w:r w:rsidR="00482B73" w:rsidRPr="00AA5933">
        <w:rPr>
          <w:rFonts w:cs="Times New Roman"/>
          <w:color w:val="000000" w:themeColor="text1"/>
          <w:szCs w:val="24"/>
        </w:rPr>
        <w:t xml:space="preserve"> 60</w:t>
      </w:r>
      <w:r w:rsidRPr="00AA5933">
        <w:rPr>
          <w:rFonts w:cs="Times New Roman"/>
          <w:color w:val="000000" w:themeColor="text1"/>
          <w:szCs w:val="24"/>
        </w:rPr>
        <w:t>, 90 and 120</w:t>
      </w:r>
      <w:r>
        <w:rPr>
          <w:rFonts w:cs="Times New Roman"/>
          <w:color w:val="000000" w:themeColor="text1"/>
          <w:szCs w:val="24"/>
        </w:rPr>
        <w:t xml:space="preserve"> </w:t>
      </w:r>
      <w:r w:rsidRPr="00AA5933">
        <w:rPr>
          <w:rFonts w:cs="Times New Roman"/>
          <w:color w:val="000000" w:themeColor="text1"/>
          <w:szCs w:val="24"/>
        </w:rPr>
        <w:t xml:space="preserve">days after vaccination. (figure 1). The case-crossover analysis was performed as a stratified Cox proportional hazard regression with ties handled by Breslow’s method in SAS 9.4 (SAS Institute, Cary, NC). Because each dog serves as its own control, </w:t>
      </w:r>
      <w:r w:rsidR="006338CC">
        <w:rPr>
          <w:rFonts w:cs="Times New Roman"/>
          <w:color w:val="000000" w:themeColor="text1"/>
          <w:szCs w:val="24"/>
        </w:rPr>
        <w:t>considerat</w:t>
      </w:r>
      <w:r w:rsidRPr="00AA5933">
        <w:rPr>
          <w:rFonts w:cs="Times New Roman"/>
          <w:color w:val="000000" w:themeColor="text1"/>
          <w:szCs w:val="24"/>
        </w:rPr>
        <w:t>ion of most covariates (sex, breed, etc.)</w:t>
      </w:r>
      <w:r w:rsidR="006338CC">
        <w:rPr>
          <w:rFonts w:cs="Times New Roman"/>
          <w:color w:val="000000" w:themeColor="text1"/>
          <w:szCs w:val="24"/>
        </w:rPr>
        <w:t xml:space="preserve"> is obviated.</w:t>
      </w:r>
    </w:p>
    <w:p w14:paraId="204FCEF4" w14:textId="30010198" w:rsidR="00AA5933" w:rsidRPr="00067A9B" w:rsidRDefault="00AA5933" w:rsidP="00067A9B">
      <w:pPr>
        <w:jc w:val="both"/>
        <w:rPr>
          <w:rFonts w:cs="Times New Roman"/>
          <w:color w:val="000000" w:themeColor="text1"/>
          <w:szCs w:val="24"/>
        </w:rPr>
      </w:pPr>
      <w:r w:rsidRPr="00AA5933">
        <w:rPr>
          <w:rFonts w:cs="Times New Roman"/>
          <w:color w:val="000000" w:themeColor="text1"/>
          <w:szCs w:val="24"/>
        </w:rPr>
        <w:t>There was no need of ethical approval as it is a study of retrospective nature.</w:t>
      </w:r>
    </w:p>
    <w:p w14:paraId="46E02CF1" w14:textId="359E3A8E" w:rsidR="001D5C23" w:rsidRDefault="00067A9B" w:rsidP="001D5C23">
      <w:pPr>
        <w:pStyle w:val="Titolo1"/>
      </w:pPr>
      <w:r>
        <w:t>Results</w:t>
      </w:r>
    </w:p>
    <w:p w14:paraId="117A4DDB" w14:textId="59147C72" w:rsidR="00067A9B" w:rsidRDefault="00FF1A75" w:rsidP="00067A9B">
      <w:pPr>
        <w:jc w:val="both"/>
        <w:rPr>
          <w:color w:val="000000" w:themeColor="text1"/>
        </w:rPr>
      </w:pPr>
      <w:r>
        <w:rPr>
          <w:color w:val="000000" w:themeColor="text1"/>
        </w:rPr>
        <w:t>F</w:t>
      </w:r>
      <w:r w:rsidR="00067A9B">
        <w:rPr>
          <w:color w:val="000000" w:themeColor="text1"/>
        </w:rPr>
        <w:t>orty dogs</w:t>
      </w:r>
      <w:r w:rsidR="00067A9B" w:rsidRPr="00552251">
        <w:rPr>
          <w:color w:val="000000" w:themeColor="text1"/>
        </w:rPr>
        <w:t xml:space="preserve"> met</w:t>
      </w:r>
      <w:r w:rsidR="00067A9B">
        <w:rPr>
          <w:color w:val="000000" w:themeColor="text1"/>
        </w:rPr>
        <w:t xml:space="preserve"> the</w:t>
      </w:r>
      <w:r w:rsidR="00067A9B" w:rsidRPr="00552251">
        <w:rPr>
          <w:color w:val="000000" w:themeColor="text1"/>
        </w:rPr>
        <w:t xml:space="preserve"> inclusion criteria of vaccination within the year preceding the diagnosis of MUO.  The population included </w:t>
      </w:r>
      <w:r w:rsidR="00067A9B">
        <w:rPr>
          <w:color w:val="000000" w:themeColor="text1"/>
        </w:rPr>
        <w:t>17 neutered males, 11 spayed females, 5 intact females and 7 intact males (40 per cent female and 60 per cent male) aged between 6 months and 13 years (median age 3.9 years).</w:t>
      </w:r>
    </w:p>
    <w:p w14:paraId="1C098CB9" w14:textId="1DD9945E" w:rsidR="00067A9B" w:rsidRDefault="00067A9B" w:rsidP="00067A9B">
      <w:pPr>
        <w:jc w:val="both"/>
        <w:rPr>
          <w:color w:val="000000" w:themeColor="text1"/>
        </w:rPr>
      </w:pPr>
      <w:r>
        <w:rPr>
          <w:color w:val="000000" w:themeColor="text1"/>
        </w:rPr>
        <w:t xml:space="preserve">The dog breeds included six Chihuahuas, three </w:t>
      </w:r>
      <w:r w:rsidR="006338CC">
        <w:rPr>
          <w:color w:val="000000" w:themeColor="text1"/>
        </w:rPr>
        <w:t>c</w:t>
      </w:r>
      <w:r>
        <w:rPr>
          <w:color w:val="000000" w:themeColor="text1"/>
        </w:rPr>
        <w:t xml:space="preserve">rossbreed dogs, two Jack Russell terriers, four French bulldogs, four </w:t>
      </w:r>
      <w:r w:rsidR="006338CC">
        <w:rPr>
          <w:color w:val="000000" w:themeColor="text1"/>
        </w:rPr>
        <w:t>p</w:t>
      </w:r>
      <w:r>
        <w:rPr>
          <w:color w:val="000000" w:themeColor="text1"/>
        </w:rPr>
        <w:t xml:space="preserve">ugs, four West Highland </w:t>
      </w:r>
      <w:r w:rsidR="006338CC">
        <w:rPr>
          <w:color w:val="000000" w:themeColor="text1"/>
        </w:rPr>
        <w:t>w</w:t>
      </w:r>
      <w:r>
        <w:rPr>
          <w:color w:val="000000" w:themeColor="text1"/>
        </w:rPr>
        <w:t xml:space="preserve">hite terriers, three </w:t>
      </w:r>
      <w:r w:rsidR="006338CC">
        <w:rPr>
          <w:color w:val="000000" w:themeColor="text1"/>
        </w:rPr>
        <w:t>s</w:t>
      </w:r>
      <w:r>
        <w:rPr>
          <w:color w:val="000000" w:themeColor="text1"/>
        </w:rPr>
        <w:t xml:space="preserve">hih </w:t>
      </w:r>
      <w:r w:rsidR="006338CC">
        <w:rPr>
          <w:color w:val="000000" w:themeColor="text1"/>
        </w:rPr>
        <w:t>t</w:t>
      </w:r>
      <w:r>
        <w:rPr>
          <w:color w:val="000000" w:themeColor="text1"/>
        </w:rPr>
        <w:t>zu, three Pomeranians,</w:t>
      </w:r>
      <w:r w:rsidRPr="000B299E">
        <w:rPr>
          <w:color w:val="000000" w:themeColor="text1"/>
        </w:rPr>
        <w:t xml:space="preserve"> </w:t>
      </w:r>
      <w:r>
        <w:rPr>
          <w:color w:val="000000" w:themeColor="text1"/>
        </w:rPr>
        <w:t xml:space="preserve">one of each of the following breeds: </w:t>
      </w:r>
      <w:r w:rsidR="006338CC">
        <w:rPr>
          <w:color w:val="000000" w:themeColor="text1"/>
        </w:rPr>
        <w:t>b</w:t>
      </w:r>
      <w:r>
        <w:rPr>
          <w:color w:val="000000" w:themeColor="text1"/>
        </w:rPr>
        <w:t xml:space="preserve">ichon </w:t>
      </w:r>
      <w:proofErr w:type="spellStart"/>
      <w:r w:rsidR="006338CC">
        <w:rPr>
          <w:color w:val="000000" w:themeColor="text1"/>
        </w:rPr>
        <w:t>f</w:t>
      </w:r>
      <w:r>
        <w:rPr>
          <w:color w:val="000000" w:themeColor="text1"/>
        </w:rPr>
        <w:t>risé</w:t>
      </w:r>
      <w:proofErr w:type="spellEnd"/>
      <w:r>
        <w:rPr>
          <w:color w:val="000000" w:themeColor="text1"/>
        </w:rPr>
        <w:t xml:space="preserve">, </w:t>
      </w:r>
      <w:r w:rsidR="006338CC">
        <w:rPr>
          <w:color w:val="000000" w:themeColor="text1"/>
        </w:rPr>
        <w:t>c</w:t>
      </w:r>
      <w:r>
        <w:rPr>
          <w:color w:val="000000" w:themeColor="text1"/>
        </w:rPr>
        <w:t xml:space="preserve">ocker </w:t>
      </w:r>
      <w:r w:rsidR="006338CC">
        <w:rPr>
          <w:color w:val="000000" w:themeColor="text1"/>
        </w:rPr>
        <w:t>s</w:t>
      </w:r>
      <w:r>
        <w:rPr>
          <w:color w:val="000000" w:themeColor="text1"/>
        </w:rPr>
        <w:t xml:space="preserve">paniel, miniature </w:t>
      </w:r>
      <w:r w:rsidR="006338CC">
        <w:rPr>
          <w:color w:val="000000" w:themeColor="text1"/>
        </w:rPr>
        <w:t>p</w:t>
      </w:r>
      <w:r>
        <w:rPr>
          <w:color w:val="000000" w:themeColor="text1"/>
        </w:rPr>
        <w:t>oodle, Shetland sheepdog and Staffordshire bull terrier.</w:t>
      </w:r>
    </w:p>
    <w:p w14:paraId="35685798" w14:textId="3B2C9B9B" w:rsidR="00067A9B" w:rsidRPr="00813655" w:rsidRDefault="00067A9B" w:rsidP="00067A9B">
      <w:pPr>
        <w:jc w:val="both"/>
        <w:rPr>
          <w:color w:val="000000" w:themeColor="text1"/>
        </w:rPr>
      </w:pPr>
      <w:r>
        <w:rPr>
          <w:color w:val="000000" w:themeColor="text1"/>
        </w:rPr>
        <w:t>In general, the diseases being immunized against included c</w:t>
      </w:r>
      <w:r w:rsidRPr="00A67A56">
        <w:rPr>
          <w:color w:val="000000" w:themeColor="text1"/>
        </w:rPr>
        <w:t>anine adenovirus type 1</w:t>
      </w:r>
      <w:r w:rsidRPr="00322FC4">
        <w:rPr>
          <w:color w:val="000000" w:themeColor="text1"/>
        </w:rPr>
        <w:t xml:space="preserve"> a</w:t>
      </w:r>
      <w:r w:rsidRPr="000C6DD1">
        <w:rPr>
          <w:color w:val="000000" w:themeColor="text1"/>
        </w:rPr>
        <w:t xml:space="preserve">nd </w:t>
      </w:r>
      <w:r w:rsidRPr="00A67A56">
        <w:rPr>
          <w:color w:val="000000" w:themeColor="text1"/>
        </w:rPr>
        <w:t xml:space="preserve">type 2, </w:t>
      </w:r>
      <w:r>
        <w:rPr>
          <w:color w:val="000000" w:themeColor="text1"/>
        </w:rPr>
        <w:t>c</w:t>
      </w:r>
      <w:r w:rsidRPr="00A67A56">
        <w:rPr>
          <w:color w:val="000000" w:themeColor="text1"/>
        </w:rPr>
        <w:t xml:space="preserve">anine distemper, </w:t>
      </w:r>
      <w:r>
        <w:rPr>
          <w:color w:val="000000" w:themeColor="text1"/>
        </w:rPr>
        <w:t>c</w:t>
      </w:r>
      <w:r w:rsidRPr="00A67A56">
        <w:rPr>
          <w:color w:val="000000" w:themeColor="text1"/>
        </w:rPr>
        <w:t xml:space="preserve">anine parvovirus, </w:t>
      </w:r>
      <w:r>
        <w:rPr>
          <w:color w:val="000000" w:themeColor="text1"/>
        </w:rPr>
        <w:t>c</w:t>
      </w:r>
      <w:r w:rsidRPr="00A67A56">
        <w:rPr>
          <w:color w:val="000000" w:themeColor="text1"/>
        </w:rPr>
        <w:t>anine parainfluenza,</w:t>
      </w:r>
      <w:r w:rsidRPr="00552251">
        <w:rPr>
          <w:i/>
          <w:iCs/>
          <w:color w:val="000000" w:themeColor="text1"/>
        </w:rPr>
        <w:t xml:space="preserve"> Leptospira </w:t>
      </w:r>
      <w:proofErr w:type="spellStart"/>
      <w:r w:rsidRPr="00552251">
        <w:rPr>
          <w:i/>
          <w:iCs/>
          <w:color w:val="000000" w:themeColor="text1"/>
        </w:rPr>
        <w:t>interrogans</w:t>
      </w:r>
      <w:proofErr w:type="spellEnd"/>
      <w:r w:rsidRPr="00552251">
        <w:rPr>
          <w:color w:val="000000" w:themeColor="text1"/>
        </w:rPr>
        <w:t xml:space="preserve"> </w:t>
      </w:r>
      <w:r>
        <w:rPr>
          <w:color w:val="000000" w:themeColor="text1"/>
        </w:rPr>
        <w:t>and</w:t>
      </w:r>
      <w:r w:rsidRPr="00552251">
        <w:rPr>
          <w:color w:val="000000" w:themeColor="text1"/>
        </w:rPr>
        <w:t xml:space="preserve"> </w:t>
      </w:r>
      <w:r w:rsidRPr="00552251">
        <w:rPr>
          <w:i/>
          <w:iCs/>
          <w:color w:val="000000" w:themeColor="text1"/>
        </w:rPr>
        <w:t xml:space="preserve">Leptospira </w:t>
      </w:r>
      <w:proofErr w:type="spellStart"/>
      <w:r w:rsidRPr="00552251">
        <w:rPr>
          <w:i/>
          <w:iCs/>
          <w:color w:val="000000" w:themeColor="text1"/>
        </w:rPr>
        <w:t>kirschneri</w:t>
      </w:r>
      <w:proofErr w:type="spellEnd"/>
      <w:r>
        <w:rPr>
          <w:color w:val="000000" w:themeColor="text1"/>
        </w:rPr>
        <w:t>,</w:t>
      </w:r>
      <w:r w:rsidRPr="00552251">
        <w:rPr>
          <w:color w:val="000000" w:themeColor="text1"/>
        </w:rPr>
        <w:t> </w:t>
      </w:r>
      <w:r w:rsidRPr="00416772">
        <w:rPr>
          <w:color w:val="000000" w:themeColor="text1"/>
        </w:rPr>
        <w:t>and</w:t>
      </w:r>
      <w:r w:rsidRPr="00552251">
        <w:rPr>
          <w:color w:val="000000" w:themeColor="text1"/>
        </w:rPr>
        <w:t xml:space="preserve"> </w:t>
      </w:r>
      <w:r w:rsidRPr="00552251">
        <w:rPr>
          <w:i/>
          <w:iCs/>
          <w:color w:val="000000" w:themeColor="text1"/>
        </w:rPr>
        <w:t xml:space="preserve">Bordetella </w:t>
      </w:r>
      <w:proofErr w:type="spellStart"/>
      <w:r w:rsidRPr="00552251">
        <w:rPr>
          <w:i/>
          <w:iCs/>
          <w:color w:val="000000" w:themeColor="text1"/>
        </w:rPr>
        <w:t>bronchiseptica</w:t>
      </w:r>
      <w:proofErr w:type="spellEnd"/>
      <w:r w:rsidRPr="00552251">
        <w:rPr>
          <w:i/>
          <w:iCs/>
          <w:color w:val="000000" w:themeColor="text1"/>
        </w:rPr>
        <w:t>.</w:t>
      </w:r>
      <w:r w:rsidR="006338CC">
        <w:rPr>
          <w:i/>
          <w:iCs/>
          <w:color w:val="000000" w:themeColor="text1"/>
        </w:rPr>
        <w:t xml:space="preserve"> </w:t>
      </w:r>
      <w:r w:rsidRPr="00234E56">
        <w:rPr>
          <w:color w:val="000000" w:themeColor="text1"/>
        </w:rPr>
        <w:t>The most</w:t>
      </w:r>
      <w:r>
        <w:rPr>
          <w:color w:val="000000" w:themeColor="text1"/>
        </w:rPr>
        <w:t xml:space="preserve"> recent vaccination record was used</w:t>
      </w:r>
      <w:r w:rsidR="00A041FC">
        <w:rPr>
          <w:color w:val="000000" w:themeColor="text1"/>
        </w:rPr>
        <w:t>,</w:t>
      </w:r>
      <w:r>
        <w:rPr>
          <w:color w:val="000000" w:themeColor="text1"/>
        </w:rPr>
        <w:t xml:space="preserve"> in some cases were multivalent</w:t>
      </w:r>
      <w:r w:rsidR="00A041FC">
        <w:rPr>
          <w:color w:val="000000" w:themeColor="text1"/>
        </w:rPr>
        <w:t xml:space="preserve"> vaccine,</w:t>
      </w:r>
      <w:r>
        <w:rPr>
          <w:color w:val="000000" w:themeColor="text1"/>
        </w:rPr>
        <w:t xml:space="preserve"> in others were </w:t>
      </w:r>
      <w:proofErr w:type="spellStart"/>
      <w:proofErr w:type="gramStart"/>
      <w:r>
        <w:rPr>
          <w:color w:val="000000" w:themeColor="text1"/>
        </w:rPr>
        <w:t>monovalent</w:t>
      </w:r>
      <w:r w:rsidR="001A718D">
        <w:rPr>
          <w:color w:val="000000" w:themeColor="text1"/>
        </w:rPr>
        <w:t>.The</w:t>
      </w:r>
      <w:proofErr w:type="spellEnd"/>
      <w:proofErr w:type="gramEnd"/>
      <w:r w:rsidR="001A718D">
        <w:rPr>
          <w:color w:val="000000" w:themeColor="text1"/>
        </w:rPr>
        <w:t xml:space="preserve"> disease being immunized was not taken in consideration</w:t>
      </w:r>
    </w:p>
    <w:p w14:paraId="20AC2185" w14:textId="22B05D14" w:rsidR="00067A9B" w:rsidRDefault="00067A9B" w:rsidP="00067A9B">
      <w:pPr>
        <w:jc w:val="both"/>
        <w:rPr>
          <w:color w:val="000000" w:themeColor="text1"/>
        </w:rPr>
      </w:pPr>
      <w:r>
        <w:rPr>
          <w:color w:val="000000" w:themeColor="text1"/>
        </w:rPr>
        <w:t xml:space="preserve">All but three dogs in the study showed mixed or lymphocytic pleocytosis on CSF with absence of infectious agents on cytologic CSF examination. One dog showed </w:t>
      </w:r>
      <w:proofErr w:type="spellStart"/>
      <w:r>
        <w:rPr>
          <w:color w:val="000000" w:themeColor="text1"/>
        </w:rPr>
        <w:t>haemic</w:t>
      </w:r>
      <w:proofErr w:type="spellEnd"/>
      <w:r>
        <w:rPr>
          <w:color w:val="000000" w:themeColor="text1"/>
        </w:rPr>
        <w:t xml:space="preserve"> contamination of the CSF and was receiving immunosuppressive therapy at presentation; one dog had severe blood contamination of the CSF; and one dog showed a neutrophilic pleocytosis with absence of infectious agents. These three dogs had neurological signs and imaging findings compatible with MUO, and all improved with immunosuppressive therapy. The dog showing neutrophilic pleocytosis on CSF analysis tested positive </w:t>
      </w:r>
      <w:r>
        <w:rPr>
          <w:iCs/>
          <w:color w:val="000000" w:themeColor="text1"/>
        </w:rPr>
        <w:t>for canine d</w:t>
      </w:r>
      <w:r w:rsidRPr="00A67A56">
        <w:rPr>
          <w:iCs/>
          <w:color w:val="000000" w:themeColor="text1"/>
        </w:rPr>
        <w:t>istemper virus</w:t>
      </w:r>
      <w:r>
        <w:rPr>
          <w:color w:val="000000" w:themeColor="text1"/>
        </w:rPr>
        <w:t xml:space="preserve"> on serology </w:t>
      </w:r>
      <w:r w:rsidR="006338CC">
        <w:rPr>
          <w:color w:val="000000" w:themeColor="text1"/>
        </w:rPr>
        <w:t xml:space="preserve">but </w:t>
      </w:r>
      <w:r>
        <w:rPr>
          <w:color w:val="000000" w:themeColor="text1"/>
        </w:rPr>
        <w:t>was negative by PCR on blood; he had been vaccinated 4 months prior to the diagnosis of MUO, and responded positively to corticosteroid therapy. Five months after starting corticosteroid therapy at immunosuppressive regime, this dog showed clinical improvement and a repeat MRI exam revealed improvement of the intra-axial lesions.</w:t>
      </w:r>
    </w:p>
    <w:p w14:paraId="068EB75F" w14:textId="510F8835" w:rsidR="00067A9B" w:rsidRPr="00416772" w:rsidRDefault="00641AD0" w:rsidP="00067A9B">
      <w:pPr>
        <w:jc w:val="both"/>
        <w:rPr>
          <w:color w:val="000000" w:themeColor="text1"/>
        </w:rPr>
      </w:pPr>
      <w:r>
        <w:rPr>
          <w:color w:val="000000" w:themeColor="text1"/>
        </w:rPr>
        <w:t>Only t</w:t>
      </w:r>
      <w:r w:rsidR="00067A9B">
        <w:rPr>
          <w:color w:val="000000" w:themeColor="text1"/>
        </w:rPr>
        <w:t>wenty-eight dogs (64</w:t>
      </w:r>
      <w:r w:rsidR="006338CC">
        <w:rPr>
          <w:color w:val="000000" w:themeColor="text1"/>
        </w:rPr>
        <w:t>%</w:t>
      </w:r>
      <w:r w:rsidR="00067A9B">
        <w:rPr>
          <w:color w:val="000000" w:themeColor="text1"/>
        </w:rPr>
        <w:t>)</w:t>
      </w:r>
      <w:r>
        <w:rPr>
          <w:color w:val="000000" w:themeColor="text1"/>
        </w:rPr>
        <w:t xml:space="preserve"> were</w:t>
      </w:r>
      <w:r w:rsidR="00067A9B">
        <w:rPr>
          <w:color w:val="000000" w:themeColor="text1"/>
        </w:rPr>
        <w:t xml:space="preserve"> tested for both </w:t>
      </w:r>
      <w:r w:rsidR="00067A9B" w:rsidRPr="007A2683">
        <w:rPr>
          <w:i/>
          <w:iCs/>
          <w:color w:val="000000" w:themeColor="text1"/>
        </w:rPr>
        <w:t>T</w:t>
      </w:r>
      <w:r w:rsidR="00067A9B">
        <w:rPr>
          <w:i/>
          <w:iCs/>
          <w:color w:val="000000" w:themeColor="text1"/>
        </w:rPr>
        <w:t xml:space="preserve">oxoplasma </w:t>
      </w:r>
      <w:r w:rsidR="00067A9B" w:rsidRPr="007A2683">
        <w:rPr>
          <w:i/>
          <w:iCs/>
          <w:color w:val="000000" w:themeColor="text1"/>
        </w:rPr>
        <w:t>gondii</w:t>
      </w:r>
      <w:r w:rsidR="00067A9B">
        <w:rPr>
          <w:color w:val="000000" w:themeColor="text1"/>
        </w:rPr>
        <w:t xml:space="preserve"> and </w:t>
      </w:r>
      <w:proofErr w:type="spellStart"/>
      <w:r w:rsidR="00067A9B" w:rsidRPr="007A2683">
        <w:rPr>
          <w:i/>
          <w:iCs/>
          <w:color w:val="000000" w:themeColor="text1"/>
        </w:rPr>
        <w:t>N</w:t>
      </w:r>
      <w:r w:rsidR="00067A9B">
        <w:rPr>
          <w:i/>
          <w:iCs/>
          <w:color w:val="000000" w:themeColor="text1"/>
        </w:rPr>
        <w:t>eospora</w:t>
      </w:r>
      <w:proofErr w:type="spellEnd"/>
      <w:r w:rsidR="00067A9B">
        <w:rPr>
          <w:i/>
          <w:iCs/>
          <w:color w:val="000000" w:themeColor="text1"/>
        </w:rPr>
        <w:t xml:space="preserve"> </w:t>
      </w:r>
      <w:r w:rsidR="00067A9B" w:rsidRPr="007A2683">
        <w:rPr>
          <w:i/>
          <w:iCs/>
          <w:color w:val="000000" w:themeColor="text1"/>
        </w:rPr>
        <w:t>caninum</w:t>
      </w:r>
      <w:r w:rsidR="00067A9B">
        <w:rPr>
          <w:i/>
          <w:iCs/>
          <w:color w:val="000000" w:themeColor="text1"/>
        </w:rPr>
        <w:t xml:space="preserve"> </w:t>
      </w:r>
      <w:r w:rsidR="00067A9B">
        <w:rPr>
          <w:iCs/>
          <w:color w:val="000000" w:themeColor="text1"/>
        </w:rPr>
        <w:t>either on serology (12/40, 30</w:t>
      </w:r>
      <w:r w:rsidR="006338CC">
        <w:rPr>
          <w:iCs/>
          <w:color w:val="000000" w:themeColor="text1"/>
        </w:rPr>
        <w:t>%</w:t>
      </w:r>
      <w:r w:rsidR="00067A9B">
        <w:rPr>
          <w:iCs/>
          <w:color w:val="000000" w:themeColor="text1"/>
        </w:rPr>
        <w:t>) or CSF-PCR (16/40, 40</w:t>
      </w:r>
      <w:r w:rsidR="006338CC">
        <w:rPr>
          <w:iCs/>
          <w:color w:val="000000" w:themeColor="text1"/>
        </w:rPr>
        <w:t>%</w:t>
      </w:r>
      <w:r w:rsidR="00482B73">
        <w:rPr>
          <w:iCs/>
          <w:color w:val="000000" w:themeColor="text1"/>
        </w:rPr>
        <w:t>)</w:t>
      </w:r>
      <w:r>
        <w:rPr>
          <w:iCs/>
          <w:color w:val="000000" w:themeColor="text1"/>
        </w:rPr>
        <w:t xml:space="preserve"> and all of them were negative</w:t>
      </w:r>
      <w:r w:rsidR="00482B73">
        <w:rPr>
          <w:iCs/>
          <w:color w:val="000000" w:themeColor="text1"/>
        </w:rPr>
        <w:t>. The</w:t>
      </w:r>
      <w:r w:rsidR="00067A9B">
        <w:rPr>
          <w:iCs/>
          <w:color w:val="000000" w:themeColor="text1"/>
        </w:rPr>
        <w:t xml:space="preserve"> remaining 12 dogs (30</w:t>
      </w:r>
      <w:r w:rsidR="006338CC">
        <w:rPr>
          <w:iCs/>
          <w:color w:val="000000" w:themeColor="text1"/>
        </w:rPr>
        <w:t>%</w:t>
      </w:r>
      <w:r w:rsidR="00067A9B">
        <w:rPr>
          <w:iCs/>
          <w:color w:val="000000" w:themeColor="text1"/>
        </w:rPr>
        <w:t xml:space="preserve">) </w:t>
      </w:r>
      <w:r w:rsidR="00067A9B">
        <w:rPr>
          <w:color w:val="000000" w:themeColor="text1"/>
        </w:rPr>
        <w:t>were not tested for infectious diseases but only underwent routine CSF analysis</w:t>
      </w:r>
      <w:r>
        <w:rPr>
          <w:color w:val="000000" w:themeColor="text1"/>
        </w:rPr>
        <w:t xml:space="preserve"> suggestive of inflammatory disease </w:t>
      </w:r>
      <w:r w:rsidR="00067A9B">
        <w:rPr>
          <w:color w:val="000000" w:themeColor="text1"/>
        </w:rPr>
        <w:t>(cytology and protein count). Of these 12 dogs, 10 improved on immunosuppressive therapy and 2 were euthanized within 24-48 hours because of marked progressive neurological deterioration.</w:t>
      </w:r>
      <w:r>
        <w:rPr>
          <w:color w:val="000000" w:themeColor="text1"/>
        </w:rPr>
        <w:t xml:space="preserve"> </w:t>
      </w:r>
      <w:proofErr w:type="gramStart"/>
      <w:r>
        <w:rPr>
          <w:color w:val="000000" w:themeColor="text1"/>
        </w:rPr>
        <w:t>This two dogs</w:t>
      </w:r>
      <w:proofErr w:type="gramEnd"/>
      <w:r>
        <w:rPr>
          <w:color w:val="000000" w:themeColor="text1"/>
        </w:rPr>
        <w:t xml:space="preserve"> were not excluded because the history, the CSF results and the MRI findings were suggestive of MUO and in</w:t>
      </w:r>
      <w:r w:rsidR="00AB5513">
        <w:rPr>
          <w:color w:val="000000" w:themeColor="text1"/>
        </w:rPr>
        <w:t xml:space="preserve"> </w:t>
      </w:r>
      <w:r>
        <w:rPr>
          <w:color w:val="000000" w:themeColor="text1"/>
        </w:rPr>
        <w:t>between 33-56% of the cases they deteriorate despite immunosuppressive therapy (15,16).</w:t>
      </w:r>
      <w:r w:rsidR="00067A9B">
        <w:rPr>
          <w:color w:val="000000" w:themeColor="text1"/>
        </w:rPr>
        <w:t xml:space="preserve"> Finally, in 7/40 dogs (17</w:t>
      </w:r>
      <w:r w:rsidR="006338CC">
        <w:rPr>
          <w:color w:val="000000" w:themeColor="text1"/>
        </w:rPr>
        <w:t>.</w:t>
      </w:r>
      <w:r w:rsidR="00067A9B">
        <w:rPr>
          <w:color w:val="000000" w:themeColor="text1"/>
        </w:rPr>
        <w:t>5</w:t>
      </w:r>
      <w:r w:rsidR="006338CC">
        <w:rPr>
          <w:color w:val="000000" w:themeColor="text1"/>
        </w:rPr>
        <w:t>%</w:t>
      </w:r>
      <w:r w:rsidR="00067A9B">
        <w:rPr>
          <w:color w:val="000000" w:themeColor="text1"/>
        </w:rPr>
        <w:t xml:space="preserve">) PCR for canine </w:t>
      </w:r>
      <w:r w:rsidR="00067A9B">
        <w:rPr>
          <w:iCs/>
          <w:color w:val="000000" w:themeColor="text1"/>
        </w:rPr>
        <w:t>d</w:t>
      </w:r>
      <w:r w:rsidR="00067A9B" w:rsidRPr="00A67A56">
        <w:rPr>
          <w:iCs/>
          <w:color w:val="000000" w:themeColor="text1"/>
        </w:rPr>
        <w:t>istemper virus</w:t>
      </w:r>
      <w:r w:rsidR="00067A9B">
        <w:rPr>
          <w:color w:val="000000" w:themeColor="text1"/>
        </w:rPr>
        <w:t xml:space="preserve"> was negative. </w:t>
      </w:r>
    </w:p>
    <w:p w14:paraId="2C1D7900" w14:textId="15BA9A62" w:rsidR="00067A9B" w:rsidRDefault="00067A9B" w:rsidP="00067A9B">
      <w:pPr>
        <w:jc w:val="both"/>
        <w:rPr>
          <w:color w:val="000000" w:themeColor="text1"/>
        </w:rPr>
      </w:pPr>
      <w:r w:rsidRPr="00552251">
        <w:rPr>
          <w:color w:val="000000" w:themeColor="text1"/>
        </w:rPr>
        <w:t xml:space="preserve">We failed to observe a difference </w:t>
      </w:r>
      <w:r>
        <w:rPr>
          <w:color w:val="000000" w:themeColor="text1"/>
        </w:rPr>
        <w:t>between</w:t>
      </w:r>
      <w:r w:rsidRPr="00552251">
        <w:rPr>
          <w:color w:val="000000" w:themeColor="text1"/>
        </w:rPr>
        <w:t xml:space="preserve"> observed and expected proportions using the Kolmogorov-Smirnov </w:t>
      </w:r>
      <w:r>
        <w:rPr>
          <w:color w:val="000000" w:themeColor="text1"/>
        </w:rPr>
        <w:t>o</w:t>
      </w:r>
      <w:r w:rsidRPr="00552251">
        <w:rPr>
          <w:color w:val="000000" w:themeColor="text1"/>
        </w:rPr>
        <w:t>ne-sample test</w:t>
      </w:r>
      <w:r>
        <w:rPr>
          <w:color w:val="000000" w:themeColor="text1"/>
        </w:rPr>
        <w:t xml:space="preserve"> (p=0.215)</w:t>
      </w:r>
      <w:r w:rsidRPr="00552251">
        <w:rPr>
          <w:color w:val="000000" w:themeColor="text1"/>
        </w:rPr>
        <w:t xml:space="preserve">.  Specifically, the most proximate 2-month window did not have a </w:t>
      </w:r>
      <w:r w:rsidR="00482B73" w:rsidRPr="00552251">
        <w:rPr>
          <w:color w:val="000000" w:themeColor="text1"/>
        </w:rPr>
        <w:lastRenderedPageBreak/>
        <w:t>higher-than-expected</w:t>
      </w:r>
      <w:r w:rsidRPr="00552251">
        <w:rPr>
          <w:color w:val="000000" w:themeColor="text1"/>
        </w:rPr>
        <w:t xml:space="preserve"> proportion of cases</w:t>
      </w:r>
      <w:r>
        <w:rPr>
          <w:color w:val="000000" w:themeColor="text1"/>
        </w:rPr>
        <w:t xml:space="preserve"> (P</w:t>
      </w:r>
      <w:r w:rsidRPr="006170E8">
        <w:rPr>
          <w:color w:val="000000" w:themeColor="text1"/>
          <w:vertAlign w:val="subscript"/>
        </w:rPr>
        <w:t>0</w:t>
      </w:r>
      <w:r>
        <w:rPr>
          <w:color w:val="000000" w:themeColor="text1"/>
        </w:rPr>
        <w:t>=0.125)</w:t>
      </w:r>
      <w:r w:rsidRPr="00552251">
        <w:rPr>
          <w:color w:val="000000" w:themeColor="text1"/>
        </w:rPr>
        <w:t>.  When examining each 2-month window individually</w:t>
      </w:r>
      <w:r w:rsidR="00FF1A75">
        <w:rPr>
          <w:color w:val="000000" w:themeColor="text1"/>
        </w:rPr>
        <w:t xml:space="preserve"> via confidence intervals</w:t>
      </w:r>
      <w:r w:rsidRPr="00552251">
        <w:rPr>
          <w:color w:val="000000" w:themeColor="text1"/>
        </w:rPr>
        <w:t xml:space="preserve">, the </w:t>
      </w:r>
      <w:r w:rsidR="00FF1A75">
        <w:rPr>
          <w:color w:val="000000" w:themeColor="text1"/>
        </w:rPr>
        <w:t>period</w:t>
      </w:r>
      <w:r w:rsidRPr="00552251">
        <w:rPr>
          <w:color w:val="000000" w:themeColor="text1"/>
        </w:rPr>
        <w:t xml:space="preserve"> from 60 to 120 days prior to diagnosis had a higher proportion of cases than expected (0.35</w:t>
      </w:r>
      <w:r w:rsidR="00FF1A75">
        <w:rPr>
          <w:color w:val="000000" w:themeColor="text1"/>
        </w:rPr>
        <w:t xml:space="preserve"> [95% CI </w:t>
      </w:r>
      <w:r w:rsidR="00FF1A75" w:rsidRPr="00A041FC">
        <w:t>0.206-0.517</w:t>
      </w:r>
      <w:r w:rsidR="00FF1A75">
        <w:rPr>
          <w:color w:val="000000" w:themeColor="text1"/>
        </w:rPr>
        <w:t xml:space="preserve">, 99.17% CI </w:t>
      </w:r>
      <w:r w:rsidR="00FF1A75" w:rsidRPr="00A041FC">
        <w:t>0.168-0.570</w:t>
      </w:r>
      <w:r w:rsidR="00FF1A75">
        <w:t>]</w:t>
      </w:r>
      <w:r w:rsidR="00FF1A75">
        <w:rPr>
          <w:color w:val="000000" w:themeColor="text1"/>
        </w:rPr>
        <w:t>; expected proportion under the null hypothesis</w:t>
      </w:r>
      <w:r w:rsidRPr="00552251">
        <w:rPr>
          <w:color w:val="000000" w:themeColor="text1"/>
        </w:rPr>
        <w:t xml:space="preserve"> 0.167,).  The interval from 0 to 60 days did not differ from the expected proportion (0.125</w:t>
      </w:r>
      <w:r w:rsidR="00FF1A75">
        <w:rPr>
          <w:color w:val="000000" w:themeColor="text1"/>
        </w:rPr>
        <w:t xml:space="preserve"> [95% CI </w:t>
      </w:r>
      <w:r w:rsidR="00FF1A75">
        <w:t>0.042-0.268, 99.17% CI</w:t>
      </w:r>
      <w:r w:rsidR="00FF1A75">
        <w:rPr>
          <w:color w:val="000000" w:themeColor="text1"/>
        </w:rPr>
        <w:t xml:space="preserve"> </w:t>
      </w:r>
      <w:r w:rsidR="00FF1A75">
        <w:t>0.027-0.320]</w:t>
      </w:r>
      <w:r w:rsidRPr="00552251">
        <w:rPr>
          <w:color w:val="000000" w:themeColor="text1"/>
        </w:rPr>
        <w:t xml:space="preserve"> vs 0.167).</w:t>
      </w:r>
      <w:r>
        <w:rPr>
          <w:color w:val="000000" w:themeColor="text1"/>
        </w:rPr>
        <w:t xml:space="preserve"> (Table 1)</w:t>
      </w:r>
    </w:p>
    <w:p w14:paraId="01B7C567" w14:textId="2E775794" w:rsidR="00067A9B" w:rsidRDefault="00067A9B" w:rsidP="00067A9B">
      <w:pPr>
        <w:jc w:val="both"/>
        <w:rPr>
          <w:color w:val="000000" w:themeColor="text1"/>
        </w:rPr>
      </w:pPr>
      <w:r>
        <w:rPr>
          <w:color w:val="000000" w:themeColor="text1"/>
        </w:rPr>
        <w:t>Forty-four</w:t>
      </w:r>
      <w:r w:rsidRPr="002C16D1">
        <w:rPr>
          <w:color w:val="000000" w:themeColor="text1"/>
        </w:rPr>
        <w:t xml:space="preserve"> dogs with </w:t>
      </w:r>
      <w:r>
        <w:rPr>
          <w:color w:val="000000" w:themeColor="text1"/>
        </w:rPr>
        <w:t>suspected</w:t>
      </w:r>
      <w:r w:rsidRPr="002C16D1">
        <w:rPr>
          <w:color w:val="000000" w:themeColor="text1"/>
        </w:rPr>
        <w:t xml:space="preserve"> MUO </w:t>
      </w:r>
      <w:r w:rsidR="00B4129D">
        <w:rPr>
          <w:color w:val="000000" w:themeColor="text1"/>
        </w:rPr>
        <w:t>were included in</w:t>
      </w:r>
      <w:r>
        <w:rPr>
          <w:color w:val="000000" w:themeColor="text1"/>
        </w:rPr>
        <w:t xml:space="preserve"> the case-crossover analysis (vaccination history longer than 1</w:t>
      </w:r>
      <w:r w:rsidR="00FF1A75">
        <w:rPr>
          <w:color w:val="000000" w:themeColor="text1"/>
        </w:rPr>
        <w:t>6</w:t>
      </w:r>
      <w:r>
        <w:rPr>
          <w:color w:val="000000" w:themeColor="text1"/>
        </w:rPr>
        <w:t xml:space="preserve"> months from dat</w:t>
      </w:r>
      <w:r w:rsidR="00FF1A75">
        <w:rPr>
          <w:color w:val="000000" w:themeColor="text1"/>
        </w:rPr>
        <w:t>e</w:t>
      </w:r>
      <w:r>
        <w:rPr>
          <w:color w:val="000000" w:themeColor="text1"/>
        </w:rPr>
        <w:t xml:space="preserve"> of</w:t>
      </w:r>
      <w:r w:rsidR="00A041FC">
        <w:rPr>
          <w:color w:val="000000" w:themeColor="text1"/>
        </w:rPr>
        <w:t xml:space="preserve"> </w:t>
      </w:r>
      <w:r>
        <w:rPr>
          <w:color w:val="000000" w:themeColor="text1"/>
        </w:rPr>
        <w:t>diagnosis of MUO). The population included 17 neutered males, 15 spayed females, 5 intact females and 7 intact males (46</w:t>
      </w:r>
      <w:r w:rsidR="00FF1A75">
        <w:rPr>
          <w:color w:val="000000" w:themeColor="text1"/>
        </w:rPr>
        <w:t>%</w:t>
      </w:r>
      <w:r>
        <w:rPr>
          <w:color w:val="000000" w:themeColor="text1"/>
        </w:rPr>
        <w:t xml:space="preserve"> female and 54</w:t>
      </w:r>
      <w:r w:rsidR="00FF1A75">
        <w:rPr>
          <w:color w:val="000000" w:themeColor="text1"/>
        </w:rPr>
        <w:t>%</w:t>
      </w:r>
      <w:r>
        <w:rPr>
          <w:color w:val="000000" w:themeColor="text1"/>
        </w:rPr>
        <w:t xml:space="preserve"> male), </w:t>
      </w:r>
      <w:r w:rsidR="00B4129D">
        <w:rPr>
          <w:color w:val="000000" w:themeColor="text1"/>
        </w:rPr>
        <w:t xml:space="preserve">with a </w:t>
      </w:r>
      <w:r w:rsidR="00FF1A75">
        <w:rPr>
          <w:color w:val="000000" w:themeColor="text1"/>
        </w:rPr>
        <w:t>m</w:t>
      </w:r>
      <w:r>
        <w:rPr>
          <w:color w:val="000000" w:themeColor="text1"/>
        </w:rPr>
        <w:t>edian age</w:t>
      </w:r>
      <w:r w:rsidR="00B4129D">
        <w:rPr>
          <w:color w:val="000000" w:themeColor="text1"/>
        </w:rPr>
        <w:t xml:space="preserve"> of</w:t>
      </w:r>
      <w:r>
        <w:rPr>
          <w:color w:val="000000" w:themeColor="text1"/>
        </w:rPr>
        <w:t xml:space="preserve"> 4.33 years.</w:t>
      </w:r>
    </w:p>
    <w:p w14:paraId="6801DB3F" w14:textId="023D7DB7" w:rsidR="00067A9B" w:rsidRDefault="00067A9B" w:rsidP="00067A9B">
      <w:pPr>
        <w:jc w:val="both"/>
        <w:rPr>
          <w:color w:val="000000" w:themeColor="text1"/>
        </w:rPr>
      </w:pPr>
      <w:r>
        <w:rPr>
          <w:color w:val="000000" w:themeColor="text1"/>
        </w:rPr>
        <w:t xml:space="preserve">The dog breeds included eight Chihuahuas, five crossbreed dogs, four Jack Russell terriers, four French bulldogs, four </w:t>
      </w:r>
      <w:r w:rsidR="00B4129D">
        <w:rPr>
          <w:color w:val="000000" w:themeColor="text1"/>
        </w:rPr>
        <w:t>p</w:t>
      </w:r>
      <w:r>
        <w:rPr>
          <w:color w:val="000000" w:themeColor="text1"/>
        </w:rPr>
        <w:t xml:space="preserve">ugs, three West Highland white terriers, three shih tzus, two Pomeranians, two bichon </w:t>
      </w:r>
      <w:proofErr w:type="spellStart"/>
      <w:r>
        <w:rPr>
          <w:color w:val="000000" w:themeColor="text1"/>
        </w:rPr>
        <w:t>frisé</w:t>
      </w:r>
      <w:proofErr w:type="spellEnd"/>
      <w:r>
        <w:rPr>
          <w:color w:val="000000" w:themeColor="text1"/>
        </w:rPr>
        <w:t xml:space="preserve">, two cocker spaniels, one of each of the following breeds: Border terrier, great Dane, miniature poodle, papillon, Shetland sheepdog, Border collie and dachshund. All but the same three dogs noted previously in the study showed mixed or lymphocytic pleocytosis with absence of infectious agents on cytologic CSF examination. </w:t>
      </w:r>
    </w:p>
    <w:p w14:paraId="2A44F706" w14:textId="1EA736E2" w:rsidR="00067A9B" w:rsidRPr="00416772" w:rsidRDefault="00641AD0" w:rsidP="00067A9B">
      <w:pPr>
        <w:jc w:val="both"/>
        <w:rPr>
          <w:color w:val="000000" w:themeColor="text1"/>
        </w:rPr>
      </w:pPr>
      <w:r>
        <w:rPr>
          <w:color w:val="000000" w:themeColor="text1"/>
        </w:rPr>
        <w:t xml:space="preserve">Only </w:t>
      </w:r>
      <w:r w:rsidR="00067A9B">
        <w:rPr>
          <w:color w:val="000000" w:themeColor="text1"/>
        </w:rPr>
        <w:t>Twenty-nine dogs (66</w:t>
      </w:r>
      <w:proofErr w:type="gramStart"/>
      <w:r w:rsidR="006205BD">
        <w:rPr>
          <w:color w:val="000000" w:themeColor="text1"/>
        </w:rPr>
        <w:t>%</w:t>
      </w:r>
      <w:r w:rsidR="00067A9B">
        <w:rPr>
          <w:color w:val="000000" w:themeColor="text1"/>
        </w:rPr>
        <w:t xml:space="preserve">) </w:t>
      </w:r>
      <w:r>
        <w:rPr>
          <w:color w:val="000000" w:themeColor="text1"/>
        </w:rPr>
        <w:t xml:space="preserve"> were</w:t>
      </w:r>
      <w:proofErr w:type="gramEnd"/>
      <w:r>
        <w:rPr>
          <w:color w:val="000000" w:themeColor="text1"/>
        </w:rPr>
        <w:t xml:space="preserve"> tested for </w:t>
      </w:r>
      <w:proofErr w:type="spellStart"/>
      <w:r w:rsidR="00067A9B">
        <w:rPr>
          <w:color w:val="000000" w:themeColor="text1"/>
        </w:rPr>
        <w:t>for</w:t>
      </w:r>
      <w:proofErr w:type="spellEnd"/>
      <w:r w:rsidR="00067A9B">
        <w:rPr>
          <w:color w:val="000000" w:themeColor="text1"/>
        </w:rPr>
        <w:t xml:space="preserve"> </w:t>
      </w:r>
      <w:r w:rsidR="00067A9B" w:rsidRPr="007A2683">
        <w:rPr>
          <w:i/>
          <w:iCs/>
          <w:color w:val="000000" w:themeColor="text1"/>
        </w:rPr>
        <w:t>T.</w:t>
      </w:r>
      <w:r w:rsidR="006205BD">
        <w:rPr>
          <w:i/>
          <w:iCs/>
          <w:color w:val="000000" w:themeColor="text1"/>
        </w:rPr>
        <w:t xml:space="preserve"> </w:t>
      </w:r>
      <w:r w:rsidR="00067A9B" w:rsidRPr="007A2683">
        <w:rPr>
          <w:i/>
          <w:iCs/>
          <w:color w:val="000000" w:themeColor="text1"/>
        </w:rPr>
        <w:t>gondii</w:t>
      </w:r>
      <w:r w:rsidR="00067A9B">
        <w:rPr>
          <w:color w:val="000000" w:themeColor="text1"/>
        </w:rPr>
        <w:t xml:space="preserve"> and </w:t>
      </w:r>
      <w:r w:rsidR="00067A9B" w:rsidRPr="007A2683">
        <w:rPr>
          <w:i/>
          <w:iCs/>
          <w:color w:val="000000" w:themeColor="text1"/>
        </w:rPr>
        <w:t>N.</w:t>
      </w:r>
      <w:r w:rsidR="006205BD">
        <w:rPr>
          <w:i/>
          <w:iCs/>
          <w:color w:val="000000" w:themeColor="text1"/>
        </w:rPr>
        <w:t xml:space="preserve"> </w:t>
      </w:r>
      <w:r w:rsidR="00067A9B" w:rsidRPr="007A2683">
        <w:rPr>
          <w:i/>
          <w:iCs/>
          <w:color w:val="000000" w:themeColor="text1"/>
        </w:rPr>
        <w:t>caninum</w:t>
      </w:r>
      <w:r w:rsidR="00067A9B">
        <w:rPr>
          <w:i/>
          <w:iCs/>
          <w:color w:val="000000" w:themeColor="text1"/>
        </w:rPr>
        <w:t xml:space="preserve"> </w:t>
      </w:r>
      <w:r w:rsidR="00067A9B">
        <w:rPr>
          <w:iCs/>
          <w:color w:val="000000" w:themeColor="text1"/>
        </w:rPr>
        <w:t>either on serology (10/44, 23</w:t>
      </w:r>
      <w:r w:rsidR="006205BD">
        <w:rPr>
          <w:iCs/>
          <w:color w:val="000000" w:themeColor="text1"/>
        </w:rPr>
        <w:t>%</w:t>
      </w:r>
      <w:r w:rsidR="00067A9B">
        <w:rPr>
          <w:iCs/>
          <w:color w:val="000000" w:themeColor="text1"/>
        </w:rPr>
        <w:t>) or CSF-PCR (19/44, 43</w:t>
      </w:r>
      <w:r w:rsidR="006205BD">
        <w:rPr>
          <w:iCs/>
          <w:color w:val="000000" w:themeColor="text1"/>
        </w:rPr>
        <w:t>%</w:t>
      </w:r>
      <w:r w:rsidR="00067A9B">
        <w:rPr>
          <w:iCs/>
          <w:color w:val="000000" w:themeColor="text1"/>
        </w:rPr>
        <w:t>)</w:t>
      </w:r>
      <w:r>
        <w:rPr>
          <w:iCs/>
          <w:color w:val="000000" w:themeColor="text1"/>
        </w:rPr>
        <w:t>and all tested negative</w:t>
      </w:r>
      <w:r w:rsidR="00067A9B">
        <w:rPr>
          <w:iCs/>
          <w:color w:val="000000" w:themeColor="text1"/>
        </w:rPr>
        <w:t>.</w:t>
      </w:r>
      <w:r w:rsidR="00067A9B" w:rsidRPr="00D841A6">
        <w:rPr>
          <w:color w:val="000000" w:themeColor="text1"/>
        </w:rPr>
        <w:t xml:space="preserve"> </w:t>
      </w:r>
      <w:r w:rsidR="00067A9B">
        <w:rPr>
          <w:iCs/>
          <w:color w:val="000000" w:themeColor="text1"/>
        </w:rPr>
        <w:t>Of the remaining 15 dogs (34</w:t>
      </w:r>
      <w:r w:rsidR="006205BD">
        <w:rPr>
          <w:iCs/>
          <w:color w:val="000000" w:themeColor="text1"/>
        </w:rPr>
        <w:t>%</w:t>
      </w:r>
      <w:r w:rsidR="00067A9B">
        <w:rPr>
          <w:iCs/>
          <w:color w:val="000000" w:themeColor="text1"/>
        </w:rPr>
        <w:t>), 12</w:t>
      </w:r>
      <w:r w:rsidR="00067A9B">
        <w:rPr>
          <w:color w:val="000000" w:themeColor="text1"/>
        </w:rPr>
        <w:t xml:space="preserve"> dogs (27</w:t>
      </w:r>
      <w:r w:rsidR="006205BD">
        <w:rPr>
          <w:color w:val="000000" w:themeColor="text1"/>
        </w:rPr>
        <w:t>%</w:t>
      </w:r>
      <w:r w:rsidR="00067A9B">
        <w:rPr>
          <w:color w:val="000000" w:themeColor="text1"/>
        </w:rPr>
        <w:t xml:space="preserve">) were not tested for infectious diseases but only underwent routine CSF analysis. Of these 12 dogs, 10 dogs improved on immunosuppressive therapy and 2 were euthanized within 24-48 hours because of marked progressive neurological deterioration. The remaining 3 dogs improved on immunosuppressive therapy and 2 of these dogs tested negative for canine </w:t>
      </w:r>
      <w:r w:rsidR="00067A9B">
        <w:rPr>
          <w:iCs/>
          <w:color w:val="000000" w:themeColor="text1"/>
        </w:rPr>
        <w:t>d</w:t>
      </w:r>
      <w:r w:rsidR="00067A9B" w:rsidRPr="00720C3E">
        <w:rPr>
          <w:iCs/>
          <w:color w:val="000000" w:themeColor="text1"/>
        </w:rPr>
        <w:t>istemper virus</w:t>
      </w:r>
      <w:r w:rsidR="00067A9B">
        <w:rPr>
          <w:i/>
          <w:color w:val="000000" w:themeColor="text1"/>
        </w:rPr>
        <w:t xml:space="preserve"> </w:t>
      </w:r>
      <w:r w:rsidR="00067A9B">
        <w:rPr>
          <w:color w:val="000000" w:themeColor="text1"/>
        </w:rPr>
        <w:t xml:space="preserve">and 1 tested negative for </w:t>
      </w:r>
      <w:r w:rsidR="00067A9B" w:rsidRPr="00E24B9A">
        <w:rPr>
          <w:i/>
          <w:color w:val="000000" w:themeColor="text1"/>
        </w:rPr>
        <w:t>Cryptococcus neoformans</w:t>
      </w:r>
      <w:r w:rsidR="00067A9B">
        <w:rPr>
          <w:color w:val="000000" w:themeColor="text1"/>
        </w:rPr>
        <w:t xml:space="preserve"> </w:t>
      </w:r>
      <w:r w:rsidR="003D6679">
        <w:rPr>
          <w:color w:val="000000" w:themeColor="text1"/>
        </w:rPr>
        <w:t xml:space="preserve">by </w:t>
      </w:r>
      <w:r w:rsidR="00067A9B">
        <w:rPr>
          <w:color w:val="000000" w:themeColor="text1"/>
        </w:rPr>
        <w:t>CSF-PCR. Finally, 6/44 dogs (14</w:t>
      </w:r>
      <w:r w:rsidR="006205BD">
        <w:rPr>
          <w:color w:val="000000" w:themeColor="text1"/>
        </w:rPr>
        <w:t>%</w:t>
      </w:r>
      <w:r w:rsidR="00067A9B">
        <w:rPr>
          <w:color w:val="000000" w:themeColor="text1"/>
        </w:rPr>
        <w:t xml:space="preserve">) were tested for PCR for canine </w:t>
      </w:r>
      <w:r w:rsidR="00067A9B">
        <w:rPr>
          <w:iCs/>
          <w:color w:val="000000" w:themeColor="text1"/>
        </w:rPr>
        <w:t>d</w:t>
      </w:r>
      <w:r w:rsidR="00067A9B" w:rsidRPr="00720C3E">
        <w:rPr>
          <w:iCs/>
          <w:color w:val="000000" w:themeColor="text1"/>
        </w:rPr>
        <w:t>istemper virus</w:t>
      </w:r>
      <w:r w:rsidR="00067A9B">
        <w:rPr>
          <w:color w:val="000000" w:themeColor="text1"/>
        </w:rPr>
        <w:t xml:space="preserve"> and the PCR was negative in all of them. </w:t>
      </w:r>
    </w:p>
    <w:p w14:paraId="5BF38D29" w14:textId="308CE226" w:rsidR="00067A9B" w:rsidRPr="00D63A46" w:rsidRDefault="00067A9B" w:rsidP="00067A9B">
      <w:pPr>
        <w:rPr>
          <w:color w:val="000000" w:themeColor="text1"/>
        </w:rPr>
      </w:pPr>
      <w:r>
        <w:rPr>
          <w:color w:val="000000" w:themeColor="text1"/>
        </w:rPr>
        <w:t xml:space="preserve">The case-crossover analysis assessing the hazard of developing MUO following vaccination failed to identify a link between vaccination and the onset of MUO in all </w:t>
      </w:r>
      <w:r w:rsidR="006205BD">
        <w:rPr>
          <w:color w:val="000000" w:themeColor="text1"/>
        </w:rPr>
        <w:t>time</w:t>
      </w:r>
      <w:r>
        <w:rPr>
          <w:color w:val="000000" w:themeColor="text1"/>
        </w:rPr>
        <w:t xml:space="preserve"> windows evaluated.</w:t>
      </w:r>
      <w:r w:rsidR="000C0383">
        <w:rPr>
          <w:color w:val="000000" w:themeColor="text1"/>
        </w:rPr>
        <w:t xml:space="preserve"> Initially only the </w:t>
      </w:r>
      <w:r w:rsidR="00482B73">
        <w:rPr>
          <w:color w:val="000000" w:themeColor="text1"/>
        </w:rPr>
        <w:t>0-60- and 61-120-day</w:t>
      </w:r>
      <w:r w:rsidR="000C0383">
        <w:rPr>
          <w:color w:val="000000" w:themeColor="text1"/>
        </w:rPr>
        <w:t xml:space="preserve"> periods were assessed, but based on the findings of the Clopper-Pearson confidence interval analysis, the </w:t>
      </w:r>
      <w:r w:rsidR="00482B73">
        <w:rPr>
          <w:color w:val="000000" w:themeColor="text1"/>
        </w:rPr>
        <w:t>61-90- and 91-120-day</w:t>
      </w:r>
      <w:r w:rsidR="000C0383">
        <w:rPr>
          <w:color w:val="000000" w:themeColor="text1"/>
        </w:rPr>
        <w:t xml:space="preserve"> windows were subsequently assessed.</w:t>
      </w:r>
      <w:r>
        <w:rPr>
          <w:color w:val="000000" w:themeColor="text1"/>
        </w:rPr>
        <w:t xml:space="preserve"> </w:t>
      </w:r>
      <w:r w:rsidR="000C0383">
        <w:rPr>
          <w:rFonts w:cs="Times New Roman"/>
          <w:color w:val="000000" w:themeColor="text1"/>
        </w:rPr>
        <w:t xml:space="preserve">Hazard ratios less than 1 in this analysis were indicative of increased hazard of MUO in the post-vaccinal period; hazard ratios ranged from 0.29 to 0.50, with associated p-values ranging from 0.1182 to 0.5715 </w:t>
      </w:r>
      <w:r>
        <w:rPr>
          <w:color w:val="000000" w:themeColor="text1"/>
        </w:rPr>
        <w:t>(Table 2</w:t>
      </w:r>
      <w:r w:rsidRPr="00D63A46">
        <w:rPr>
          <w:color w:val="000000" w:themeColor="text1"/>
        </w:rPr>
        <w:t>)</w:t>
      </w:r>
      <w:r w:rsidR="000C0383">
        <w:rPr>
          <w:color w:val="000000" w:themeColor="text1"/>
        </w:rPr>
        <w:t>.</w:t>
      </w:r>
    </w:p>
    <w:p w14:paraId="5F0C6C11" w14:textId="5808F46D" w:rsidR="00067A9B" w:rsidRDefault="00067A9B" w:rsidP="00067A9B">
      <w:pPr>
        <w:pStyle w:val="Titolo1"/>
      </w:pPr>
      <w:r>
        <w:t>Discussion</w:t>
      </w:r>
    </w:p>
    <w:p w14:paraId="131F0FA0" w14:textId="160C7713" w:rsidR="00067A9B" w:rsidRPr="00D63A46" w:rsidRDefault="00D916B0" w:rsidP="00067A9B">
      <w:pPr>
        <w:rPr>
          <w:color w:val="000000" w:themeColor="text1"/>
        </w:rPr>
      </w:pPr>
      <w:r>
        <w:rPr>
          <w:color w:val="000000" w:themeColor="text1"/>
        </w:rPr>
        <w:t xml:space="preserve">Results of this study </w:t>
      </w:r>
      <w:r w:rsidR="00067A9B">
        <w:rPr>
          <w:color w:val="000000" w:themeColor="text1"/>
        </w:rPr>
        <w:t>found little evidence to corroborate that recent vaccination was associated with a subsequent diagnosis of MUO in dogs</w:t>
      </w:r>
      <w:r w:rsidR="00532248">
        <w:rPr>
          <w:color w:val="000000" w:themeColor="text1"/>
        </w:rPr>
        <w:t>.</w:t>
      </w:r>
      <w:r w:rsidR="000C0383">
        <w:rPr>
          <w:color w:val="000000" w:themeColor="text1"/>
        </w:rPr>
        <w:t xml:space="preserve"> </w:t>
      </w:r>
      <w:r w:rsidR="00067A9B">
        <w:rPr>
          <w:color w:val="000000" w:themeColor="text1"/>
        </w:rPr>
        <w:t>Multiple statistical methods failed to identify a strong association with vaccination</w:t>
      </w:r>
      <w:r w:rsidR="003A24CE">
        <w:rPr>
          <w:color w:val="000000" w:themeColor="text1"/>
        </w:rPr>
        <w:t>.</w:t>
      </w:r>
      <w:r w:rsidR="00A4552D">
        <w:rPr>
          <w:color w:val="000000" w:themeColor="text1"/>
        </w:rPr>
        <w:t xml:space="preserve"> </w:t>
      </w:r>
      <w:r w:rsidR="003A24CE">
        <w:rPr>
          <w:color w:val="000000" w:themeColor="text1"/>
        </w:rPr>
        <w:t>W</w:t>
      </w:r>
      <w:r w:rsidR="00380A49">
        <w:rPr>
          <w:color w:val="000000" w:themeColor="text1"/>
        </w:rPr>
        <w:t>hile the</w:t>
      </w:r>
      <w:r w:rsidR="00067A9B">
        <w:rPr>
          <w:color w:val="000000" w:themeColor="text1"/>
        </w:rPr>
        <w:t xml:space="preserve"> analysis</w:t>
      </w:r>
      <w:r w:rsidR="00380A49">
        <w:rPr>
          <w:color w:val="000000" w:themeColor="text1"/>
        </w:rPr>
        <w:t xml:space="preserve"> based on confidence intervals for proportions</w:t>
      </w:r>
      <w:r w:rsidR="00067A9B">
        <w:rPr>
          <w:color w:val="000000" w:themeColor="text1"/>
        </w:rPr>
        <w:t xml:space="preserve"> suggested an increased proportion of </w:t>
      </w:r>
      <w:r w:rsidR="00380A49">
        <w:rPr>
          <w:color w:val="000000" w:themeColor="text1"/>
        </w:rPr>
        <w:t xml:space="preserve">MUO </w:t>
      </w:r>
      <w:r w:rsidR="00067A9B">
        <w:rPr>
          <w:color w:val="000000" w:themeColor="text1"/>
        </w:rPr>
        <w:t xml:space="preserve">diagnoses for dogs vaccinated 60 to 120 days prior to diagnosis, </w:t>
      </w:r>
      <w:r w:rsidR="00380A49">
        <w:rPr>
          <w:color w:val="000000" w:themeColor="text1"/>
        </w:rPr>
        <w:t>the case-crossover analysis and Kolmogorov-Smirnov one sample test found no significant evidence of an association</w:t>
      </w:r>
      <w:r w:rsidR="00067A9B" w:rsidRPr="00D63A46">
        <w:rPr>
          <w:rFonts w:cs="Times New Roman"/>
          <w:color w:val="000000" w:themeColor="text1"/>
        </w:rPr>
        <w:t>.</w:t>
      </w:r>
      <w:r w:rsidR="00380A49">
        <w:rPr>
          <w:rFonts w:cs="Times New Roman"/>
          <w:color w:val="000000" w:themeColor="text1"/>
        </w:rPr>
        <w:t xml:space="preserve"> The case-crossover analysis, due to both enhanced statistical efficiency and inherent control of most potential covariates, stands as perhaps the most robust analysis of these data and suggests that the association noted via the Clopper-Pearson method may be subject to unmeasured confounding.</w:t>
      </w:r>
    </w:p>
    <w:p w14:paraId="7FDA91DA" w14:textId="4E768B36" w:rsidR="004A242B" w:rsidRPr="004A242B" w:rsidRDefault="00380A49">
      <w:pPr>
        <w:jc w:val="both"/>
        <w:rPr>
          <w:color w:val="000000" w:themeColor="text1"/>
        </w:rPr>
      </w:pPr>
      <w:r>
        <w:rPr>
          <w:color w:val="000000" w:themeColor="text1"/>
        </w:rPr>
        <w:t>Several</w:t>
      </w:r>
      <w:r w:rsidR="00067A9B">
        <w:rPr>
          <w:color w:val="000000" w:themeColor="text1"/>
        </w:rPr>
        <w:t xml:space="preserve"> studies </w:t>
      </w:r>
      <w:r>
        <w:rPr>
          <w:color w:val="000000" w:themeColor="text1"/>
        </w:rPr>
        <w:t xml:space="preserve">have </w:t>
      </w:r>
      <w:r w:rsidR="00067A9B">
        <w:rPr>
          <w:color w:val="000000" w:themeColor="text1"/>
        </w:rPr>
        <w:t xml:space="preserve">assessed </w:t>
      </w:r>
      <w:r w:rsidR="00067A9B" w:rsidRPr="00A041FC">
        <w:rPr>
          <w:color w:val="000000" w:themeColor="text1"/>
        </w:rPr>
        <w:t xml:space="preserve">vaccination as </w:t>
      </w:r>
      <w:r w:rsidRPr="00A041FC">
        <w:rPr>
          <w:color w:val="000000" w:themeColor="text1"/>
        </w:rPr>
        <w:t xml:space="preserve">a </w:t>
      </w:r>
      <w:r w:rsidR="00067A9B" w:rsidRPr="00A041FC">
        <w:rPr>
          <w:color w:val="000000" w:themeColor="text1"/>
        </w:rPr>
        <w:t>potential trigger</w:t>
      </w:r>
      <w:r w:rsidRPr="00A041FC">
        <w:rPr>
          <w:color w:val="000000" w:themeColor="text1"/>
        </w:rPr>
        <w:t xml:space="preserve"> of</w:t>
      </w:r>
      <w:r w:rsidR="00067A9B" w:rsidRPr="00A041FC">
        <w:rPr>
          <w:color w:val="000000" w:themeColor="text1"/>
        </w:rPr>
        <w:t xml:space="preserve"> immune-mediated diseases, such as immune-mediated hemolytic anemia in dogs.</w:t>
      </w:r>
      <w:r w:rsidR="00532248" w:rsidRPr="00A041FC">
        <w:rPr>
          <w:color w:val="000000" w:themeColor="text1"/>
        </w:rPr>
        <w:t>(</w:t>
      </w:r>
      <w:r w:rsidR="009778ED">
        <w:rPr>
          <w:color w:val="000000" w:themeColor="text1"/>
        </w:rPr>
        <w:t>16,</w:t>
      </w:r>
      <w:r w:rsidR="00532248" w:rsidRPr="00A041FC">
        <w:rPr>
          <w:color w:val="000000" w:themeColor="text1"/>
        </w:rPr>
        <w:t>1</w:t>
      </w:r>
      <w:r w:rsidR="00AB5513">
        <w:rPr>
          <w:color w:val="000000" w:themeColor="text1"/>
        </w:rPr>
        <w:t>9,</w:t>
      </w:r>
      <w:r w:rsidR="00532248" w:rsidRPr="00A041FC">
        <w:rPr>
          <w:color w:val="000000" w:themeColor="text1"/>
        </w:rPr>
        <w:t>2</w:t>
      </w:r>
      <w:r w:rsidR="00AB5513">
        <w:rPr>
          <w:color w:val="000000" w:themeColor="text1"/>
        </w:rPr>
        <w:t>3</w:t>
      </w:r>
      <w:r w:rsidR="00532248" w:rsidRPr="00A041FC">
        <w:rPr>
          <w:color w:val="000000" w:themeColor="text1"/>
        </w:rPr>
        <w:t>)</w:t>
      </w:r>
      <w:r w:rsidR="00067A9B" w:rsidRPr="00A041FC">
        <w:rPr>
          <w:color w:val="000000" w:themeColor="text1"/>
        </w:rPr>
        <w:t xml:space="preserve"> </w:t>
      </w:r>
      <w:r w:rsidR="00532248" w:rsidRPr="00A041FC">
        <w:rPr>
          <w:color w:val="000000" w:themeColor="text1"/>
        </w:rPr>
        <w:t>.</w:t>
      </w:r>
      <w:r w:rsidR="00067A9B" w:rsidRPr="00A041FC">
        <w:rPr>
          <w:color w:val="000000" w:themeColor="text1"/>
        </w:rPr>
        <w:t xml:space="preserve">The latest American College of Veterinary Internal Medicine consensus statement indicates that there is insufficient evidence to conclude that </w:t>
      </w:r>
      <w:r w:rsidR="00067A9B" w:rsidRPr="00A041FC">
        <w:rPr>
          <w:color w:val="000000" w:themeColor="text1"/>
        </w:rPr>
        <w:lastRenderedPageBreak/>
        <w:t>vaccination is implicated in the development of immune-mediated hemolytic anemia.</w:t>
      </w:r>
      <w:r w:rsidR="00A041FC" w:rsidRPr="00A041FC">
        <w:rPr>
          <w:color w:val="000000" w:themeColor="text1"/>
        </w:rPr>
        <w:t>(</w:t>
      </w:r>
      <w:r w:rsidR="00532248" w:rsidRPr="00A041FC">
        <w:rPr>
          <w:color w:val="000000" w:themeColor="text1"/>
        </w:rPr>
        <w:t>1</w:t>
      </w:r>
      <w:r w:rsidR="00FB66DC">
        <w:rPr>
          <w:color w:val="000000" w:themeColor="text1"/>
        </w:rPr>
        <w:t>8</w:t>
      </w:r>
      <w:r w:rsidR="00532248" w:rsidRPr="00A041FC">
        <w:rPr>
          <w:color w:val="000000" w:themeColor="text1"/>
        </w:rPr>
        <w:t>)</w:t>
      </w:r>
      <w:r w:rsidR="004A242B">
        <w:rPr>
          <w:color w:val="000000" w:themeColor="text1"/>
        </w:rPr>
        <w:t xml:space="preserve">Jeffry et al evaluated </w:t>
      </w:r>
      <w:r w:rsidR="004A242B">
        <w:rPr>
          <w:rFonts w:ascii="TimesNewRomanPSMT" w:hAnsi="TimesNewRomanPSMT"/>
        </w:rPr>
        <w:t xml:space="preserve">constituents of the </w:t>
      </w:r>
      <w:proofErr w:type="spellStart"/>
      <w:r w:rsidR="004A242B">
        <w:rPr>
          <w:rFonts w:ascii="TimesNewRomanPSMT" w:hAnsi="TimesNewRomanPSMT"/>
        </w:rPr>
        <w:t>faecal</w:t>
      </w:r>
      <w:proofErr w:type="spellEnd"/>
      <w:r w:rsidR="004A242B">
        <w:rPr>
          <w:rFonts w:ascii="TimesNewRomanPSMT" w:hAnsi="TimesNewRomanPSMT"/>
        </w:rPr>
        <w:t xml:space="preserve"> microbiota and brain disease and found that one fourth of dogs with MUO were been vaccinated within the month prior to having developed clinical signs, compared  to none in the control group.(19) Barnes et al evaluated also the vaccination as a potential trigger for MUO in 24 dogs and could not find any statical difference with the control cases (20)</w:t>
      </w:r>
    </w:p>
    <w:p w14:paraId="473FC999" w14:textId="26D84275" w:rsidR="004A242B" w:rsidRPr="00F1329C" w:rsidRDefault="00067A9B" w:rsidP="00067A9B">
      <w:pPr>
        <w:jc w:val="both"/>
        <w:rPr>
          <w:color w:val="000000" w:themeColor="text1"/>
        </w:rPr>
      </w:pPr>
      <w:r w:rsidRPr="00A041FC">
        <w:rPr>
          <w:color w:val="000000" w:themeColor="text1"/>
        </w:rPr>
        <w:t xml:space="preserve">Similarly, little evidence exists in humans that vaccination routinely triggers immune-mediated disorders such as Guillain-Barré </w:t>
      </w:r>
      <w:proofErr w:type="gramStart"/>
      <w:r w:rsidRPr="00A041FC">
        <w:rPr>
          <w:color w:val="000000" w:themeColor="text1"/>
        </w:rPr>
        <w:t>Syndrome.</w:t>
      </w:r>
      <w:r w:rsidR="00532248" w:rsidRPr="00A041FC">
        <w:rPr>
          <w:color w:val="000000" w:themeColor="text1"/>
        </w:rPr>
        <w:t>(</w:t>
      </w:r>
      <w:proofErr w:type="gramEnd"/>
      <w:r w:rsidR="00532248" w:rsidRPr="00A041FC">
        <w:rPr>
          <w:color w:val="000000" w:themeColor="text1"/>
        </w:rPr>
        <w:t>2</w:t>
      </w:r>
      <w:r w:rsidR="0061395C">
        <w:rPr>
          <w:color w:val="000000" w:themeColor="text1"/>
        </w:rPr>
        <w:t>6</w:t>
      </w:r>
      <w:r w:rsidR="00532248" w:rsidRPr="00A041FC">
        <w:rPr>
          <w:color w:val="000000" w:themeColor="text1"/>
        </w:rPr>
        <w:t>,2</w:t>
      </w:r>
      <w:r w:rsidR="0061395C">
        <w:rPr>
          <w:color w:val="000000" w:themeColor="text1"/>
        </w:rPr>
        <w:t>8</w:t>
      </w:r>
      <w:r w:rsidR="00532248" w:rsidRPr="00A041FC">
        <w:rPr>
          <w:color w:val="000000" w:themeColor="text1"/>
        </w:rPr>
        <w:t>)</w:t>
      </w:r>
      <w:r w:rsidRPr="00A041FC">
        <w:rPr>
          <w:color w:val="000000" w:themeColor="text1"/>
        </w:rPr>
        <w:t xml:space="preserve"> Several human studies concluded that there is not enough evidence correlating vaccination and the development of autoimmune disease</w:t>
      </w:r>
      <w:r w:rsidR="004001EB" w:rsidRPr="00A041FC">
        <w:rPr>
          <w:color w:val="000000" w:themeColor="text1"/>
        </w:rPr>
        <w:t xml:space="preserve">. </w:t>
      </w:r>
      <w:r w:rsidR="00532248" w:rsidRPr="00A041FC">
        <w:rPr>
          <w:color w:val="000000" w:themeColor="text1"/>
        </w:rPr>
        <w:t>(2</w:t>
      </w:r>
      <w:r w:rsidR="0061395C">
        <w:rPr>
          <w:color w:val="000000" w:themeColor="text1"/>
        </w:rPr>
        <w:t>5</w:t>
      </w:r>
      <w:r w:rsidR="00532248" w:rsidRPr="00A041FC">
        <w:rPr>
          <w:color w:val="000000" w:themeColor="text1"/>
        </w:rPr>
        <w:t>-3</w:t>
      </w:r>
      <w:r w:rsidR="0061395C">
        <w:rPr>
          <w:color w:val="000000" w:themeColor="text1"/>
        </w:rPr>
        <w:t>9</w:t>
      </w:r>
      <w:r w:rsidR="00532248" w:rsidRPr="00A041FC">
        <w:rPr>
          <w:color w:val="000000" w:themeColor="text1"/>
        </w:rPr>
        <w:t>)</w:t>
      </w:r>
    </w:p>
    <w:p w14:paraId="0DFBEA34" w14:textId="13A7B942" w:rsidR="00067A9B" w:rsidRDefault="00067A9B" w:rsidP="00067A9B">
      <w:pPr>
        <w:jc w:val="both"/>
        <w:rPr>
          <w:color w:val="000000" w:themeColor="text1"/>
        </w:rPr>
      </w:pPr>
      <w:r>
        <w:rPr>
          <w:color w:val="000000" w:themeColor="text1"/>
        </w:rPr>
        <w:t>Based on the observations of Duval and Giger as well as Jeffery et al</w:t>
      </w:r>
      <w:r w:rsidR="00EC6ED0">
        <w:rPr>
          <w:color w:val="000000" w:themeColor="text1"/>
        </w:rPr>
        <w:t>.</w:t>
      </w:r>
      <w:r>
        <w:rPr>
          <w:color w:val="000000" w:themeColor="text1"/>
        </w:rPr>
        <w:t xml:space="preserve">, we hypothesized that vaccination would trigger MUO within the first 60 days. </w:t>
      </w:r>
      <w:r w:rsidR="00EC6ED0">
        <w:rPr>
          <w:color w:val="000000" w:themeColor="text1"/>
        </w:rPr>
        <w:t>N</w:t>
      </w:r>
      <w:r>
        <w:rPr>
          <w:color w:val="000000" w:themeColor="text1"/>
        </w:rPr>
        <w:t xml:space="preserve">o such association </w:t>
      </w:r>
      <w:r w:rsidR="00EC6ED0">
        <w:rPr>
          <w:color w:val="000000" w:themeColor="text1"/>
        </w:rPr>
        <w:t>was identified in the current study, although this</w:t>
      </w:r>
      <w:r>
        <w:rPr>
          <w:color w:val="000000" w:themeColor="text1"/>
        </w:rPr>
        <w:t xml:space="preserve"> could be due to the</w:t>
      </w:r>
      <w:r w:rsidR="00EC6ED0">
        <w:rPr>
          <w:color w:val="000000" w:themeColor="text1"/>
        </w:rPr>
        <w:t xml:space="preserve"> relatively</w:t>
      </w:r>
      <w:r>
        <w:rPr>
          <w:color w:val="000000" w:themeColor="text1"/>
        </w:rPr>
        <w:t xml:space="preserve"> small sample size.  </w:t>
      </w:r>
      <w:r w:rsidR="00EC6ED0">
        <w:rPr>
          <w:color w:val="000000" w:themeColor="text1"/>
        </w:rPr>
        <w:t xml:space="preserve">It is notable that no dogs developed MUO within 15 days of vaccination, and only 2 developed disease within the first month. </w:t>
      </w:r>
      <w:r>
        <w:rPr>
          <w:color w:val="000000" w:themeColor="text1"/>
        </w:rPr>
        <w:t>However, we found that a higher-than-expected proportion of dogs was vaccinated 60-120 days prior to the diagnosis of MUO</w:t>
      </w:r>
      <w:r w:rsidR="00EC6ED0">
        <w:rPr>
          <w:color w:val="000000" w:themeColor="text1"/>
        </w:rPr>
        <w:t>, a finding that held true when corrected for multiple testing</w:t>
      </w:r>
      <w:r>
        <w:rPr>
          <w:color w:val="000000" w:themeColor="text1"/>
        </w:rPr>
        <w:t>.</w:t>
      </w:r>
      <w:r w:rsidR="00EC6ED0">
        <w:rPr>
          <w:color w:val="000000" w:themeColor="text1"/>
        </w:rPr>
        <w:t xml:space="preserve"> </w:t>
      </w:r>
      <w:r w:rsidR="00057676">
        <w:rPr>
          <w:color w:val="000000" w:themeColor="text1"/>
        </w:rPr>
        <w:t>As previously noted, this is likely a result of unmeasured confounding</w:t>
      </w:r>
      <w:r w:rsidR="003A24CE">
        <w:rPr>
          <w:color w:val="000000" w:themeColor="text1"/>
        </w:rPr>
        <w:t>.</w:t>
      </w:r>
      <w:r w:rsidR="00057676">
        <w:rPr>
          <w:color w:val="000000" w:themeColor="text1"/>
        </w:rPr>
        <w:t xml:space="preserve"> </w:t>
      </w:r>
      <w:r w:rsidR="003A24CE">
        <w:rPr>
          <w:color w:val="000000" w:themeColor="text1"/>
        </w:rPr>
        <w:t>O</w:t>
      </w:r>
      <w:r w:rsidR="00057676">
        <w:rPr>
          <w:color w:val="000000" w:themeColor="text1"/>
        </w:rPr>
        <w:t>ther possibilities include</w:t>
      </w:r>
      <w:r w:rsidR="003A24CE">
        <w:rPr>
          <w:color w:val="000000" w:themeColor="text1"/>
        </w:rPr>
        <w:t>:</w:t>
      </w:r>
      <w:r w:rsidR="00057676">
        <w:rPr>
          <w:color w:val="000000" w:themeColor="text1"/>
        </w:rPr>
        <w:t xml:space="preserve"> an effect of</w:t>
      </w:r>
      <w:r w:rsidR="004001EB">
        <w:rPr>
          <w:color w:val="000000" w:themeColor="text1"/>
        </w:rPr>
        <w:t xml:space="preserve"> </w:t>
      </w:r>
      <w:r>
        <w:rPr>
          <w:color w:val="000000" w:themeColor="text1"/>
        </w:rPr>
        <w:t>the small sample size</w:t>
      </w:r>
      <w:r w:rsidR="003A24CE">
        <w:rPr>
          <w:color w:val="000000" w:themeColor="text1"/>
        </w:rPr>
        <w:t>:</w:t>
      </w:r>
      <w:r>
        <w:rPr>
          <w:color w:val="000000" w:themeColor="text1"/>
        </w:rPr>
        <w:t xml:space="preserve"> as the relatively small number of cases (n=40) that developed MUO within 365 days of vaccination could result in a “false positive” observation, rather than a true association</w:t>
      </w:r>
      <w:r w:rsidR="00057676">
        <w:rPr>
          <w:color w:val="000000" w:themeColor="text1"/>
        </w:rPr>
        <w:t>,</w:t>
      </w:r>
      <w:r w:rsidR="00A4552D">
        <w:rPr>
          <w:color w:val="000000" w:themeColor="text1"/>
        </w:rPr>
        <w:t xml:space="preserve"> </w:t>
      </w:r>
      <w:r w:rsidR="00057676">
        <w:rPr>
          <w:color w:val="000000" w:themeColor="text1"/>
        </w:rPr>
        <w:t>or</w:t>
      </w:r>
      <w:r w:rsidR="003A24CE">
        <w:rPr>
          <w:color w:val="000000" w:themeColor="text1"/>
        </w:rPr>
        <w:t xml:space="preserve"> either</w:t>
      </w:r>
      <w:r w:rsidR="00057676">
        <w:rPr>
          <w:color w:val="000000" w:themeColor="text1"/>
        </w:rPr>
        <w:t xml:space="preserve"> the possibility that vaccination</w:t>
      </w:r>
      <w:r w:rsidR="003A24CE">
        <w:rPr>
          <w:color w:val="000000" w:themeColor="text1"/>
        </w:rPr>
        <w:t xml:space="preserve"> may </w:t>
      </w:r>
      <w:r w:rsidR="00057676">
        <w:rPr>
          <w:color w:val="000000" w:themeColor="text1"/>
        </w:rPr>
        <w:t xml:space="preserve">occasionally trigger MUO between </w:t>
      </w:r>
      <w:r w:rsidR="00482B73">
        <w:rPr>
          <w:color w:val="000000" w:themeColor="text1"/>
        </w:rPr>
        <w:t>2- and 4-months</w:t>
      </w:r>
      <w:r w:rsidR="00057676">
        <w:rPr>
          <w:color w:val="000000" w:themeColor="text1"/>
        </w:rPr>
        <w:t xml:space="preserve"> post-vaccination</w:t>
      </w:r>
      <w:r>
        <w:rPr>
          <w:color w:val="000000" w:themeColor="text1"/>
        </w:rPr>
        <w:t>.</w:t>
      </w:r>
      <w:r w:rsidR="00057676">
        <w:rPr>
          <w:color w:val="000000" w:themeColor="text1"/>
        </w:rPr>
        <w:t xml:space="preserve"> While the latter is considered less likely in light of the case-crossover findings, a larger retrospective study or cohort study could provide clarity</w:t>
      </w:r>
      <w:r>
        <w:rPr>
          <w:color w:val="000000" w:themeColor="text1"/>
        </w:rPr>
        <w:t>.</w:t>
      </w:r>
    </w:p>
    <w:p w14:paraId="1454889D" w14:textId="4819BA6E" w:rsidR="00067A9B" w:rsidRPr="00A54CBC" w:rsidRDefault="00EC6ED0" w:rsidP="00067A9B">
      <w:pPr>
        <w:jc w:val="both"/>
        <w:rPr>
          <w:iCs/>
          <w:color w:val="000000" w:themeColor="text1"/>
        </w:rPr>
      </w:pPr>
      <w:r>
        <w:rPr>
          <w:color w:val="000000" w:themeColor="text1"/>
        </w:rPr>
        <w:t>A</w:t>
      </w:r>
      <w:r w:rsidR="00067A9B">
        <w:rPr>
          <w:color w:val="000000" w:themeColor="text1"/>
        </w:rPr>
        <w:t>ll dogs</w:t>
      </w:r>
      <w:r>
        <w:rPr>
          <w:color w:val="000000" w:themeColor="text1"/>
        </w:rPr>
        <w:t xml:space="preserve"> in this study</w:t>
      </w:r>
      <w:r w:rsidR="00067A9B">
        <w:rPr>
          <w:color w:val="000000" w:themeColor="text1"/>
        </w:rPr>
        <w:t xml:space="preserve"> that underwent serological testing for </w:t>
      </w:r>
      <w:r w:rsidR="00067A9B" w:rsidRPr="004B5ED3">
        <w:rPr>
          <w:i/>
          <w:iCs/>
          <w:color w:val="000000" w:themeColor="text1"/>
        </w:rPr>
        <w:t>T. gondii</w:t>
      </w:r>
      <w:r w:rsidR="00067A9B">
        <w:rPr>
          <w:color w:val="000000" w:themeColor="text1"/>
        </w:rPr>
        <w:t xml:space="preserve"> and </w:t>
      </w:r>
      <w:r w:rsidR="00067A9B" w:rsidRPr="004B5ED3">
        <w:rPr>
          <w:i/>
          <w:iCs/>
          <w:color w:val="000000" w:themeColor="text1"/>
        </w:rPr>
        <w:t>N. caninum</w:t>
      </w:r>
      <w:r w:rsidR="00067A9B">
        <w:rPr>
          <w:color w:val="000000" w:themeColor="text1"/>
        </w:rPr>
        <w:t xml:space="preserve"> tested negative</w:t>
      </w:r>
      <w:r w:rsidR="00067A9B">
        <w:rPr>
          <w:iCs/>
          <w:color w:val="000000" w:themeColor="text1"/>
        </w:rPr>
        <w:t xml:space="preserve">. This is consistent with the observations of </w:t>
      </w:r>
      <w:r w:rsidR="00067A9B">
        <w:rPr>
          <w:color w:val="000000" w:themeColor="text1"/>
        </w:rPr>
        <w:t xml:space="preserve">a recent study performed in the United Kingdom that found a very low prevalence of active </w:t>
      </w:r>
      <w:r w:rsidR="00067A9B" w:rsidRPr="007A2683">
        <w:rPr>
          <w:i/>
          <w:iCs/>
          <w:color w:val="000000" w:themeColor="text1"/>
        </w:rPr>
        <w:t>T.</w:t>
      </w:r>
      <w:r w:rsidR="00067A9B">
        <w:rPr>
          <w:i/>
          <w:iCs/>
          <w:color w:val="000000" w:themeColor="text1"/>
        </w:rPr>
        <w:t xml:space="preserve"> </w:t>
      </w:r>
      <w:r w:rsidR="00067A9B" w:rsidRPr="007A2683">
        <w:rPr>
          <w:i/>
          <w:iCs/>
          <w:color w:val="000000" w:themeColor="text1"/>
        </w:rPr>
        <w:t>gondii</w:t>
      </w:r>
      <w:r w:rsidR="00067A9B">
        <w:rPr>
          <w:color w:val="000000" w:themeColor="text1"/>
        </w:rPr>
        <w:t xml:space="preserve"> and </w:t>
      </w:r>
      <w:r w:rsidR="00067A9B" w:rsidRPr="007A2683">
        <w:rPr>
          <w:i/>
          <w:iCs/>
          <w:color w:val="000000" w:themeColor="text1"/>
        </w:rPr>
        <w:t>N.</w:t>
      </w:r>
      <w:r w:rsidR="00067A9B">
        <w:rPr>
          <w:i/>
          <w:iCs/>
          <w:color w:val="000000" w:themeColor="text1"/>
        </w:rPr>
        <w:t xml:space="preserve"> </w:t>
      </w:r>
      <w:r w:rsidR="00067A9B" w:rsidRPr="007A2683">
        <w:rPr>
          <w:i/>
          <w:iCs/>
          <w:color w:val="000000" w:themeColor="text1"/>
        </w:rPr>
        <w:t>caninum</w:t>
      </w:r>
      <w:r w:rsidR="00067A9B">
        <w:rPr>
          <w:color w:val="000000" w:themeColor="text1"/>
        </w:rPr>
        <w:t xml:space="preserve"> (0.25 and 2.25</w:t>
      </w:r>
      <w:r>
        <w:rPr>
          <w:color w:val="000000" w:themeColor="text1"/>
        </w:rPr>
        <w:t>%</w:t>
      </w:r>
      <w:r w:rsidR="00067A9B">
        <w:rPr>
          <w:color w:val="000000" w:themeColor="text1"/>
        </w:rPr>
        <w:t xml:space="preserve"> respectively) and little evidence for antigenic exposure for these diseases in dogs (4 and 7</w:t>
      </w:r>
      <w:r>
        <w:rPr>
          <w:color w:val="000000" w:themeColor="text1"/>
        </w:rPr>
        <w:t>%</w:t>
      </w:r>
      <w:r w:rsidR="00067A9B">
        <w:rPr>
          <w:color w:val="000000" w:themeColor="text1"/>
        </w:rPr>
        <w:t xml:space="preserve"> </w:t>
      </w:r>
      <w:proofErr w:type="gramStart"/>
      <w:r w:rsidR="00067A9B" w:rsidRPr="00D916B0">
        <w:rPr>
          <w:color w:val="000000" w:themeColor="text1"/>
        </w:rPr>
        <w:t>respectively)</w:t>
      </w:r>
      <w:r w:rsidR="00532248" w:rsidRPr="00D916B0">
        <w:rPr>
          <w:color w:val="000000" w:themeColor="text1"/>
        </w:rPr>
        <w:t>(</w:t>
      </w:r>
      <w:proofErr w:type="gramEnd"/>
      <w:r w:rsidR="00532248" w:rsidRPr="00D916B0">
        <w:rPr>
          <w:color w:val="000000" w:themeColor="text1"/>
        </w:rPr>
        <w:t>1-3</w:t>
      </w:r>
      <w:r w:rsidR="00641AD0">
        <w:rPr>
          <w:color w:val="000000" w:themeColor="text1"/>
        </w:rPr>
        <w:t>,1</w:t>
      </w:r>
      <w:r w:rsidR="009778ED">
        <w:rPr>
          <w:color w:val="000000" w:themeColor="text1"/>
        </w:rPr>
        <w:t>7</w:t>
      </w:r>
      <w:r w:rsidR="00532248" w:rsidRPr="00D916B0">
        <w:rPr>
          <w:color w:val="000000" w:themeColor="text1"/>
        </w:rPr>
        <w:t>,</w:t>
      </w:r>
      <w:r w:rsidR="0061395C">
        <w:rPr>
          <w:color w:val="000000" w:themeColor="text1"/>
        </w:rPr>
        <w:t>4</w:t>
      </w:r>
      <w:r w:rsidR="00AB5513">
        <w:rPr>
          <w:color w:val="000000" w:themeColor="text1"/>
        </w:rPr>
        <w:t>0</w:t>
      </w:r>
      <w:r w:rsidR="00532248" w:rsidRPr="00D916B0">
        <w:rPr>
          <w:color w:val="000000" w:themeColor="text1"/>
        </w:rPr>
        <w:t>).</w:t>
      </w:r>
      <w:r w:rsidRPr="00D916B0">
        <w:rPr>
          <w:color w:val="000000" w:themeColor="text1"/>
        </w:rPr>
        <w:t xml:space="preserve"> </w:t>
      </w:r>
    </w:p>
    <w:p w14:paraId="0A099999" w14:textId="66E77D11" w:rsidR="00067A9B" w:rsidRDefault="00067A9B" w:rsidP="00067A9B">
      <w:pPr>
        <w:jc w:val="both"/>
        <w:rPr>
          <w:color w:val="000000" w:themeColor="text1"/>
        </w:rPr>
      </w:pPr>
      <w:r>
        <w:rPr>
          <w:color w:val="000000" w:themeColor="text1"/>
        </w:rPr>
        <w:t xml:space="preserve">Because of the retrospective nature of our study, and the fact that most dogs improved with immunosuppressive therapy, we could not confirm the diagnosis of MUO </w:t>
      </w:r>
      <w:proofErr w:type="spellStart"/>
      <w:r>
        <w:rPr>
          <w:color w:val="000000" w:themeColor="text1"/>
        </w:rPr>
        <w:t>histopathologically</w:t>
      </w:r>
      <w:proofErr w:type="spellEnd"/>
      <w:r>
        <w:rPr>
          <w:color w:val="000000" w:themeColor="text1"/>
        </w:rPr>
        <w:t xml:space="preserve">.  However, most studies of MUO rely on characteristic imaging abnormalities, </w:t>
      </w:r>
      <w:r w:rsidR="00E45A32">
        <w:rPr>
          <w:color w:val="000000" w:themeColor="text1"/>
        </w:rPr>
        <w:t>cerebrospinal fluid tap,</w:t>
      </w:r>
      <w:r w:rsidR="00A4552D">
        <w:rPr>
          <w:color w:val="000000" w:themeColor="text1"/>
        </w:rPr>
        <w:t xml:space="preserve"> </w:t>
      </w:r>
      <w:r>
        <w:rPr>
          <w:color w:val="000000" w:themeColor="text1"/>
        </w:rPr>
        <w:t>signalment</w:t>
      </w:r>
      <w:r w:rsidR="00057676">
        <w:rPr>
          <w:color w:val="000000" w:themeColor="text1"/>
        </w:rPr>
        <w:t>,</w:t>
      </w:r>
      <w:r>
        <w:rPr>
          <w:color w:val="000000" w:themeColor="text1"/>
        </w:rPr>
        <w:t xml:space="preserve"> and response to immunosuppressive therapy for a presumptive diagnosis, considering the major limitations to achiev</w:t>
      </w:r>
      <w:r w:rsidR="00057676">
        <w:rPr>
          <w:color w:val="000000" w:themeColor="text1"/>
        </w:rPr>
        <w:t>ing</w:t>
      </w:r>
      <w:r>
        <w:rPr>
          <w:color w:val="000000" w:themeColor="text1"/>
        </w:rPr>
        <w:t xml:space="preserve"> a definitive diagnosis by brain biopsy. Although we consider this </w:t>
      </w:r>
      <w:r w:rsidR="00057676">
        <w:rPr>
          <w:color w:val="000000" w:themeColor="text1"/>
        </w:rPr>
        <w:t>to be</w:t>
      </w:r>
      <w:r>
        <w:rPr>
          <w:color w:val="000000" w:themeColor="text1"/>
        </w:rPr>
        <w:t xml:space="preserve"> a major </w:t>
      </w:r>
      <w:r w:rsidR="00D916B0">
        <w:rPr>
          <w:color w:val="000000" w:themeColor="text1"/>
        </w:rPr>
        <w:t>limitation, we</w:t>
      </w:r>
      <w:r>
        <w:rPr>
          <w:color w:val="000000" w:themeColor="text1"/>
        </w:rPr>
        <w:t xml:space="preserve"> are reasonably confident that </w:t>
      </w:r>
      <w:r w:rsidR="00057676">
        <w:rPr>
          <w:color w:val="000000" w:themeColor="text1"/>
        </w:rPr>
        <w:t>the</w:t>
      </w:r>
      <w:r>
        <w:rPr>
          <w:color w:val="000000" w:themeColor="text1"/>
        </w:rPr>
        <w:t xml:space="preserve"> diagnoses were as accurate as those of prior studies </w:t>
      </w:r>
      <w:r w:rsidR="00057676">
        <w:rPr>
          <w:color w:val="000000" w:themeColor="text1"/>
        </w:rPr>
        <w:t>utiliz</w:t>
      </w:r>
      <w:r>
        <w:rPr>
          <w:color w:val="000000" w:themeColor="text1"/>
        </w:rPr>
        <w:t>ing Granger´s guidelines.</w:t>
      </w:r>
    </w:p>
    <w:p w14:paraId="2D563CA7" w14:textId="4E3E8207" w:rsidR="00067A9B" w:rsidRDefault="00057676" w:rsidP="00067A9B">
      <w:pPr>
        <w:jc w:val="both"/>
        <w:rPr>
          <w:color w:val="000000" w:themeColor="text1"/>
        </w:rPr>
      </w:pPr>
      <w:r>
        <w:rPr>
          <w:color w:val="000000" w:themeColor="text1"/>
        </w:rPr>
        <w:t>The current study</w:t>
      </w:r>
      <w:r w:rsidR="00067A9B">
        <w:rPr>
          <w:color w:val="000000" w:themeColor="text1"/>
        </w:rPr>
        <w:t xml:space="preserve"> had no control group (unvaccinated dogs that developed MUO), so </w:t>
      </w:r>
      <w:r>
        <w:rPr>
          <w:color w:val="000000" w:themeColor="text1"/>
        </w:rPr>
        <w:t xml:space="preserve">a case-control </w:t>
      </w:r>
      <w:r w:rsidR="00D916B0">
        <w:rPr>
          <w:color w:val="000000" w:themeColor="text1"/>
        </w:rPr>
        <w:t>study could</w:t>
      </w:r>
      <w:r w:rsidR="00067A9B">
        <w:rPr>
          <w:color w:val="000000" w:themeColor="text1"/>
        </w:rPr>
        <w:t xml:space="preserve"> not </w:t>
      </w:r>
      <w:r>
        <w:rPr>
          <w:color w:val="000000" w:themeColor="text1"/>
        </w:rPr>
        <w:t xml:space="preserve">be </w:t>
      </w:r>
      <w:r w:rsidR="00067A9B">
        <w:rPr>
          <w:color w:val="000000" w:themeColor="text1"/>
        </w:rPr>
        <w:t>perform</w:t>
      </w:r>
      <w:r>
        <w:rPr>
          <w:color w:val="000000" w:themeColor="text1"/>
        </w:rPr>
        <w:t>ed</w:t>
      </w:r>
      <w:r w:rsidR="00067A9B">
        <w:rPr>
          <w:color w:val="000000" w:themeColor="text1"/>
        </w:rPr>
        <w:t xml:space="preserve">.  However, few </w:t>
      </w:r>
      <w:r>
        <w:rPr>
          <w:color w:val="000000" w:themeColor="text1"/>
        </w:rPr>
        <w:t xml:space="preserve">client-owned </w:t>
      </w:r>
      <w:r w:rsidR="00067A9B">
        <w:rPr>
          <w:color w:val="000000" w:themeColor="text1"/>
        </w:rPr>
        <w:t>dogs in the UK or USA have never received any vaccinations, so such studies might be both ethically and logistically difficult, if not impossible, to perform.  The case-crossover analysis provides a practical alternative in which each dog serves as its own control, thereby minimizing confounding and bias while simultaneously increasing statistical efficiency without the need to recruit additional control subjects. This inherent control of confounding encompasses all time-invariant variables like breed and sex, precluding the need to include them in the model.</w:t>
      </w:r>
    </w:p>
    <w:p w14:paraId="6061A3BD" w14:textId="1E11DBD0" w:rsidR="00067A9B" w:rsidRDefault="00067A9B" w:rsidP="00067A9B">
      <w:pPr>
        <w:jc w:val="both"/>
        <w:rPr>
          <w:color w:val="000000" w:themeColor="text1"/>
        </w:rPr>
      </w:pPr>
      <w:r>
        <w:rPr>
          <w:color w:val="000000" w:themeColor="text1"/>
        </w:rPr>
        <w:t xml:space="preserve">In conclusion, we found little evidence for association of vaccination immediately prior to a diagnosis of MUO in dogs. </w:t>
      </w:r>
    </w:p>
    <w:p w14:paraId="12391E73" w14:textId="77777777" w:rsidR="00067A9B" w:rsidRPr="00067A9B" w:rsidRDefault="00067A9B" w:rsidP="00067A9B"/>
    <w:p w14:paraId="4D7649F0" w14:textId="77777777" w:rsidR="00CB43D5" w:rsidRDefault="00CB43D5" w:rsidP="00CB43D5">
      <w:pPr>
        <w:pStyle w:val="Titolo1"/>
      </w:pPr>
      <w:r>
        <w:lastRenderedPageBreak/>
        <w:t>Conflict of Interest</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53983B68" w:rsidR="00045678" w:rsidRDefault="00045678" w:rsidP="00045678">
      <w:pPr>
        <w:pStyle w:val="Titolo1"/>
      </w:pPr>
      <w:r w:rsidRPr="0010501F">
        <w:t>Author Contributions</w:t>
      </w:r>
    </w:p>
    <w:p w14:paraId="00B55606" w14:textId="04CA00F8" w:rsidR="0010501F" w:rsidRPr="003F14AA" w:rsidRDefault="003F14AA" w:rsidP="0010501F">
      <w:pPr>
        <w:spacing w:before="0" w:after="0"/>
        <w:rPr>
          <w:rFonts w:eastAsia="Times New Roman" w:cs="Times New Roman"/>
          <w:i/>
          <w:szCs w:val="24"/>
          <w:lang w:val="en-GB" w:eastAsia="en-GB"/>
        </w:rPr>
      </w:pPr>
      <w:r w:rsidRPr="003F14AA">
        <w:rPr>
          <w:rFonts w:eastAsia="Times New Roman" w:cs="Times New Roman"/>
          <w:i/>
          <w:szCs w:val="24"/>
          <w:lang w:val="en-GB" w:eastAsia="en-GB"/>
        </w:rPr>
        <w:t xml:space="preserve">MR, PCC, and LG contributed to conception and design of the study. </w:t>
      </w:r>
      <w:r w:rsidR="004001EB">
        <w:rPr>
          <w:rFonts w:eastAsia="Times New Roman" w:cs="Times New Roman"/>
          <w:i/>
          <w:szCs w:val="24"/>
          <w:lang w:val="en-GB" w:eastAsia="en-GB"/>
        </w:rPr>
        <w:t xml:space="preserve">LG, LM, WT and </w:t>
      </w:r>
      <w:r w:rsidRPr="003F14AA">
        <w:rPr>
          <w:rFonts w:eastAsia="Times New Roman" w:cs="Times New Roman"/>
          <w:i/>
          <w:szCs w:val="24"/>
          <w:lang w:val="en-GB" w:eastAsia="en-GB"/>
        </w:rPr>
        <w:t xml:space="preserve">LVZ </w:t>
      </w:r>
      <w:r w:rsidR="004001EB">
        <w:rPr>
          <w:rFonts w:eastAsia="Times New Roman" w:cs="Times New Roman"/>
          <w:i/>
          <w:szCs w:val="24"/>
          <w:lang w:val="en-GB" w:eastAsia="en-GB"/>
        </w:rPr>
        <w:t xml:space="preserve">contributed to collect the cases and LVZ </w:t>
      </w:r>
      <w:r w:rsidRPr="003F14AA">
        <w:rPr>
          <w:rFonts w:eastAsia="Times New Roman" w:cs="Times New Roman"/>
          <w:i/>
          <w:szCs w:val="24"/>
          <w:lang w:val="en-GB" w:eastAsia="en-GB"/>
        </w:rPr>
        <w:t>organized the database. MR and PCC performed the statistical analysis</w:t>
      </w:r>
      <w:r w:rsidR="004001EB">
        <w:rPr>
          <w:rFonts w:eastAsia="Times New Roman" w:cs="Times New Roman"/>
          <w:i/>
          <w:szCs w:val="24"/>
          <w:lang w:val="en-GB" w:eastAsia="en-GB"/>
        </w:rPr>
        <w:t xml:space="preserve">. </w:t>
      </w:r>
      <w:r w:rsidRPr="003F14AA">
        <w:rPr>
          <w:rFonts w:eastAsia="Times New Roman" w:cs="Times New Roman"/>
          <w:i/>
          <w:szCs w:val="24"/>
          <w:lang w:val="en-GB" w:eastAsia="en-GB"/>
        </w:rPr>
        <w:t>LVZ wrote the first draft of the manuscript. LVZ, LM, MR, PCC, and LG wrote sections of the manuscript. All authors contributed to manuscript revision, read, and approved the submitted version</w:t>
      </w:r>
    </w:p>
    <w:p w14:paraId="4B56BDD9" w14:textId="68AA43A7" w:rsidR="0010501F" w:rsidRPr="0010501F" w:rsidRDefault="0010501F" w:rsidP="0010501F">
      <w:pPr>
        <w:pStyle w:val="Titolo1"/>
      </w:pPr>
      <w:r>
        <w:t>References</w:t>
      </w:r>
    </w:p>
    <w:p w14:paraId="66FDC367" w14:textId="77777777" w:rsidR="00067A9B" w:rsidRDefault="00067A9B" w:rsidP="00067A9B">
      <w:pPr>
        <w:tabs>
          <w:tab w:val="left" w:pos="781"/>
        </w:tabs>
        <w:rPr>
          <w:color w:val="000000" w:themeColor="text1"/>
        </w:rPr>
      </w:pPr>
      <w:r w:rsidRPr="00257063">
        <w:rPr>
          <w:color w:val="000000" w:themeColor="text1"/>
        </w:rPr>
        <w:t>1.</w:t>
      </w:r>
      <w:r w:rsidRPr="00BE6774">
        <w:rPr>
          <w:color w:val="000000" w:themeColor="text1"/>
        </w:rPr>
        <w:t xml:space="preserve">Granger N, Smith PM, Jeffery ND. Clinical findings and treatment of non-infectious </w:t>
      </w:r>
      <w:proofErr w:type="spellStart"/>
      <w:r w:rsidRPr="00BE6774">
        <w:rPr>
          <w:color w:val="000000" w:themeColor="text1"/>
        </w:rPr>
        <w:t>meningoencephalomyelitis</w:t>
      </w:r>
      <w:proofErr w:type="spellEnd"/>
      <w:r w:rsidRPr="00BE6774">
        <w:rPr>
          <w:color w:val="000000" w:themeColor="text1"/>
        </w:rPr>
        <w:t xml:space="preserve"> in dogs: a systematic review of 457 published cases from 1962 to 2008.</w:t>
      </w:r>
      <w:r w:rsidRPr="00A343AF">
        <w:rPr>
          <w:i/>
          <w:iCs/>
          <w:color w:val="000000" w:themeColor="text1"/>
        </w:rPr>
        <w:t>Vet J</w:t>
      </w:r>
      <w:r w:rsidRPr="00BE6774">
        <w:rPr>
          <w:color w:val="000000" w:themeColor="text1"/>
        </w:rPr>
        <w:t xml:space="preserve"> 2010;184(3):290-7</w:t>
      </w:r>
    </w:p>
    <w:p w14:paraId="303E3C95" w14:textId="77777777" w:rsidR="00067A9B" w:rsidRPr="00257063" w:rsidRDefault="00067A9B" w:rsidP="00067A9B">
      <w:pPr>
        <w:rPr>
          <w:color w:val="000000" w:themeColor="text1"/>
        </w:rPr>
      </w:pPr>
      <w:r>
        <w:rPr>
          <w:color w:val="000000" w:themeColor="text1"/>
        </w:rPr>
        <w:t xml:space="preserve">2.Coates </w:t>
      </w:r>
      <w:proofErr w:type="spellStart"/>
      <w:proofErr w:type="gramStart"/>
      <w:r>
        <w:rPr>
          <w:color w:val="000000" w:themeColor="text1"/>
        </w:rPr>
        <w:t>JR,Jeffery</w:t>
      </w:r>
      <w:proofErr w:type="spellEnd"/>
      <w:proofErr w:type="gramEnd"/>
      <w:r>
        <w:rPr>
          <w:color w:val="000000" w:themeColor="text1"/>
        </w:rPr>
        <w:t xml:space="preserve"> ND. Perspectives on </w:t>
      </w:r>
      <w:proofErr w:type="spellStart"/>
      <w:r>
        <w:rPr>
          <w:color w:val="000000" w:themeColor="text1"/>
        </w:rPr>
        <w:t>meningoencephalomyelitis</w:t>
      </w:r>
      <w:proofErr w:type="spellEnd"/>
      <w:r>
        <w:rPr>
          <w:color w:val="000000" w:themeColor="text1"/>
        </w:rPr>
        <w:t xml:space="preserve"> of unknown </w:t>
      </w:r>
      <w:proofErr w:type="spellStart"/>
      <w:proofErr w:type="gramStart"/>
      <w:r>
        <w:rPr>
          <w:color w:val="000000" w:themeColor="text1"/>
        </w:rPr>
        <w:t>origin.</w:t>
      </w:r>
      <w:r w:rsidRPr="00AC4DDC">
        <w:rPr>
          <w:i/>
          <w:iCs/>
          <w:color w:val="000000" w:themeColor="text1"/>
        </w:rPr>
        <w:t>Vet</w:t>
      </w:r>
      <w:proofErr w:type="spellEnd"/>
      <w:proofErr w:type="gramEnd"/>
      <w:r w:rsidRPr="00AC4DDC">
        <w:rPr>
          <w:i/>
          <w:iCs/>
          <w:color w:val="000000" w:themeColor="text1"/>
        </w:rPr>
        <w:t xml:space="preserve"> Clin North Am Small </w:t>
      </w:r>
      <w:proofErr w:type="spellStart"/>
      <w:r w:rsidRPr="00AC4DDC">
        <w:rPr>
          <w:i/>
          <w:iCs/>
          <w:color w:val="000000" w:themeColor="text1"/>
        </w:rPr>
        <w:t>Anim</w:t>
      </w:r>
      <w:proofErr w:type="spellEnd"/>
      <w:r w:rsidRPr="00AC4DDC">
        <w:rPr>
          <w:i/>
          <w:iCs/>
          <w:color w:val="000000" w:themeColor="text1"/>
        </w:rPr>
        <w:t xml:space="preserve"> </w:t>
      </w:r>
      <w:proofErr w:type="spellStart"/>
      <w:r w:rsidRPr="00AC4DDC">
        <w:rPr>
          <w:i/>
          <w:iCs/>
          <w:color w:val="000000" w:themeColor="text1"/>
        </w:rPr>
        <w:t>Pract</w:t>
      </w:r>
      <w:proofErr w:type="spellEnd"/>
      <w:r>
        <w:rPr>
          <w:color w:val="000000" w:themeColor="text1"/>
        </w:rPr>
        <w:t xml:space="preserve"> 2014</w:t>
      </w:r>
      <w:r w:rsidRPr="00257063">
        <w:rPr>
          <w:color w:val="000000" w:themeColor="text1"/>
        </w:rPr>
        <w:t>;44(6):1157-85.</w:t>
      </w:r>
    </w:p>
    <w:p w14:paraId="5EA6E4C3" w14:textId="77777777" w:rsidR="00067A9B" w:rsidRPr="00257063" w:rsidRDefault="00067A9B" w:rsidP="00067A9B">
      <w:pPr>
        <w:rPr>
          <w:color w:val="000000" w:themeColor="text1"/>
        </w:rPr>
      </w:pPr>
      <w:r w:rsidRPr="00A343AF">
        <w:rPr>
          <w:color w:val="000000" w:themeColor="text1"/>
        </w:rPr>
        <w:t xml:space="preserve">3.Talarico LR, </w:t>
      </w:r>
      <w:proofErr w:type="spellStart"/>
      <w:r w:rsidRPr="00A343AF">
        <w:rPr>
          <w:color w:val="000000" w:themeColor="text1"/>
        </w:rPr>
        <w:t>Schatzberg</w:t>
      </w:r>
      <w:proofErr w:type="spellEnd"/>
      <w:r w:rsidRPr="00A343AF">
        <w:rPr>
          <w:color w:val="000000" w:themeColor="text1"/>
        </w:rPr>
        <w:t xml:space="preserve"> </w:t>
      </w:r>
      <w:proofErr w:type="spellStart"/>
      <w:proofErr w:type="gramStart"/>
      <w:r w:rsidRPr="00A343AF">
        <w:rPr>
          <w:color w:val="000000" w:themeColor="text1"/>
        </w:rPr>
        <w:t>SJ.Idiopathic</w:t>
      </w:r>
      <w:proofErr w:type="spellEnd"/>
      <w:proofErr w:type="gramEnd"/>
      <w:r w:rsidRPr="00A343AF">
        <w:rPr>
          <w:color w:val="000000" w:themeColor="text1"/>
        </w:rPr>
        <w:t xml:space="preserve"> granulomatous and </w:t>
      </w:r>
      <w:proofErr w:type="spellStart"/>
      <w:r w:rsidRPr="00A343AF">
        <w:rPr>
          <w:color w:val="000000" w:themeColor="text1"/>
        </w:rPr>
        <w:t>necrotising</w:t>
      </w:r>
      <w:proofErr w:type="spellEnd"/>
      <w:r w:rsidRPr="00A343AF">
        <w:rPr>
          <w:color w:val="000000" w:themeColor="text1"/>
        </w:rPr>
        <w:t xml:space="preserve"> inflammatory disorders of the canine central nervous system: a review and future </w:t>
      </w:r>
      <w:proofErr w:type="spellStart"/>
      <w:r w:rsidRPr="00A343AF">
        <w:rPr>
          <w:color w:val="000000" w:themeColor="text1"/>
        </w:rPr>
        <w:t>perspectives</w:t>
      </w:r>
      <w:r w:rsidRPr="00A343AF">
        <w:rPr>
          <w:i/>
          <w:iCs/>
          <w:color w:val="000000" w:themeColor="text1"/>
        </w:rPr>
        <w:t>.J</w:t>
      </w:r>
      <w:proofErr w:type="spellEnd"/>
      <w:r w:rsidRPr="00A343AF">
        <w:rPr>
          <w:i/>
          <w:iCs/>
          <w:color w:val="000000" w:themeColor="text1"/>
        </w:rPr>
        <w:t xml:space="preserve"> Small </w:t>
      </w:r>
      <w:proofErr w:type="spellStart"/>
      <w:r w:rsidRPr="00A343AF">
        <w:rPr>
          <w:i/>
          <w:iCs/>
          <w:color w:val="000000" w:themeColor="text1"/>
        </w:rPr>
        <w:t>Anim</w:t>
      </w:r>
      <w:proofErr w:type="spellEnd"/>
      <w:r w:rsidRPr="00A343AF">
        <w:rPr>
          <w:i/>
          <w:iCs/>
          <w:color w:val="000000" w:themeColor="text1"/>
        </w:rPr>
        <w:t xml:space="preserve"> </w:t>
      </w:r>
      <w:proofErr w:type="spellStart"/>
      <w:r w:rsidRPr="00A343AF">
        <w:rPr>
          <w:i/>
          <w:iCs/>
          <w:color w:val="000000" w:themeColor="text1"/>
        </w:rPr>
        <w:t>Pract</w:t>
      </w:r>
      <w:proofErr w:type="spellEnd"/>
      <w:r w:rsidRPr="00A343AF">
        <w:rPr>
          <w:color w:val="000000" w:themeColor="text1"/>
        </w:rPr>
        <w:t xml:space="preserve"> 2010;51(3):138-49</w:t>
      </w:r>
    </w:p>
    <w:p w14:paraId="43A2F55D" w14:textId="77777777" w:rsidR="00067A9B" w:rsidRPr="00257063" w:rsidRDefault="00067A9B" w:rsidP="00067A9B">
      <w:pPr>
        <w:rPr>
          <w:color w:val="000000" w:themeColor="text1"/>
        </w:rPr>
      </w:pPr>
      <w:r w:rsidRPr="006170E8">
        <w:rPr>
          <w:color w:val="000000" w:themeColor="text1"/>
          <w:lang w:val="it-IT"/>
        </w:rPr>
        <w:t xml:space="preserve">4.Cornelis I, Van </w:t>
      </w:r>
      <w:proofErr w:type="spellStart"/>
      <w:r w:rsidRPr="006170E8">
        <w:rPr>
          <w:color w:val="000000" w:themeColor="text1"/>
          <w:lang w:val="it-IT"/>
        </w:rPr>
        <w:t>Ham</w:t>
      </w:r>
      <w:proofErr w:type="spellEnd"/>
      <w:r w:rsidRPr="006170E8">
        <w:rPr>
          <w:color w:val="000000" w:themeColor="text1"/>
          <w:lang w:val="it-IT"/>
        </w:rPr>
        <w:t xml:space="preserve"> L, </w:t>
      </w:r>
      <w:proofErr w:type="spellStart"/>
      <w:r w:rsidRPr="006170E8">
        <w:rPr>
          <w:color w:val="000000" w:themeColor="text1"/>
          <w:lang w:val="it-IT"/>
        </w:rPr>
        <w:t>Gielen</w:t>
      </w:r>
      <w:proofErr w:type="spellEnd"/>
      <w:r w:rsidRPr="006170E8">
        <w:rPr>
          <w:color w:val="000000" w:themeColor="text1"/>
          <w:lang w:val="it-IT"/>
        </w:rPr>
        <w:t xml:space="preserve"> I et al. </w:t>
      </w:r>
      <w:r w:rsidRPr="00A343AF">
        <w:rPr>
          <w:color w:val="000000" w:themeColor="text1"/>
        </w:rPr>
        <w:t xml:space="preserve">Clinical presentation, diagnostic findings, prognostic factors, treatment and outcome in dogs with </w:t>
      </w:r>
      <w:proofErr w:type="spellStart"/>
      <w:r w:rsidRPr="00A343AF">
        <w:rPr>
          <w:color w:val="000000" w:themeColor="text1"/>
        </w:rPr>
        <w:t>meningoencephalomyelitis</w:t>
      </w:r>
      <w:proofErr w:type="spellEnd"/>
      <w:r w:rsidRPr="00A343AF">
        <w:rPr>
          <w:color w:val="000000" w:themeColor="text1"/>
        </w:rPr>
        <w:t xml:space="preserve"> of unknown origin: A review. </w:t>
      </w:r>
      <w:r w:rsidRPr="00A343AF">
        <w:rPr>
          <w:i/>
          <w:iCs/>
          <w:color w:val="000000" w:themeColor="text1"/>
        </w:rPr>
        <w:t>Vet J</w:t>
      </w:r>
      <w:r>
        <w:rPr>
          <w:color w:val="000000" w:themeColor="text1"/>
        </w:rPr>
        <w:t xml:space="preserve"> </w:t>
      </w:r>
      <w:proofErr w:type="gramStart"/>
      <w:r w:rsidRPr="00A343AF">
        <w:rPr>
          <w:color w:val="000000" w:themeColor="text1"/>
        </w:rPr>
        <w:t>2019;244:37</w:t>
      </w:r>
      <w:proofErr w:type="gramEnd"/>
      <w:r w:rsidRPr="00A343AF">
        <w:rPr>
          <w:color w:val="000000" w:themeColor="text1"/>
        </w:rPr>
        <w:t>-4</w:t>
      </w:r>
    </w:p>
    <w:p w14:paraId="5DABD989" w14:textId="77777777" w:rsidR="00067A9B" w:rsidRPr="00257063" w:rsidRDefault="00067A9B" w:rsidP="00067A9B">
      <w:pPr>
        <w:shd w:val="clear" w:color="auto" w:fill="FFFFFF"/>
        <w:rPr>
          <w:color w:val="000000" w:themeColor="text1"/>
        </w:rPr>
      </w:pPr>
      <w:r w:rsidRPr="00257063">
        <w:rPr>
          <w:color w:val="000000" w:themeColor="text1"/>
        </w:rPr>
        <w:t xml:space="preserve">5.Wong MA, Hopkins AL, Meeks JC et al. Evaluation of treatment with a combination of azathioprine and prednisone in dogs with </w:t>
      </w:r>
      <w:proofErr w:type="spellStart"/>
      <w:r w:rsidRPr="00257063">
        <w:rPr>
          <w:color w:val="000000" w:themeColor="text1"/>
        </w:rPr>
        <w:t>meningoencephalomyelitis</w:t>
      </w:r>
      <w:proofErr w:type="spellEnd"/>
      <w:r w:rsidRPr="00257063">
        <w:rPr>
          <w:color w:val="000000" w:themeColor="text1"/>
        </w:rPr>
        <w:t xml:space="preserve"> of undetermined etiology: 40 cases (2000–2007). </w:t>
      </w:r>
      <w:r w:rsidRPr="00A343AF">
        <w:rPr>
          <w:i/>
          <w:iCs/>
          <w:color w:val="000000" w:themeColor="text1"/>
        </w:rPr>
        <w:t>J Am Vet Med Assoc 2010</w:t>
      </w:r>
      <w:r w:rsidRPr="00257063">
        <w:rPr>
          <w:color w:val="000000" w:themeColor="text1"/>
        </w:rPr>
        <w:t>;237(8):929-35.</w:t>
      </w:r>
    </w:p>
    <w:p w14:paraId="24C53410" w14:textId="77777777" w:rsidR="00067A9B" w:rsidRDefault="00067A9B" w:rsidP="00067A9B">
      <w:pPr>
        <w:rPr>
          <w:color w:val="000000" w:themeColor="text1"/>
        </w:rPr>
      </w:pPr>
      <w:r w:rsidRPr="00257063">
        <w:rPr>
          <w:color w:val="000000" w:themeColor="text1"/>
        </w:rPr>
        <w:t>6.</w:t>
      </w:r>
      <w:r w:rsidRPr="00A343AF">
        <w:rPr>
          <w:color w:val="000000" w:themeColor="text1"/>
        </w:rPr>
        <w:t xml:space="preserve">Stromnes IM, </w:t>
      </w:r>
      <w:proofErr w:type="spellStart"/>
      <w:r w:rsidRPr="00A343AF">
        <w:rPr>
          <w:color w:val="000000" w:themeColor="text1"/>
        </w:rPr>
        <w:t>Goverman</w:t>
      </w:r>
      <w:proofErr w:type="spellEnd"/>
      <w:r w:rsidRPr="00A343AF">
        <w:rPr>
          <w:color w:val="000000" w:themeColor="text1"/>
        </w:rPr>
        <w:t xml:space="preserve"> JM. Active induction of experimental allergic </w:t>
      </w:r>
      <w:proofErr w:type="spellStart"/>
      <w:proofErr w:type="gramStart"/>
      <w:r w:rsidRPr="00A343AF">
        <w:rPr>
          <w:color w:val="000000" w:themeColor="text1"/>
        </w:rPr>
        <w:t>encephalomyelitis</w:t>
      </w:r>
      <w:r w:rsidRPr="00A343AF">
        <w:rPr>
          <w:i/>
          <w:iCs/>
          <w:color w:val="000000" w:themeColor="text1"/>
        </w:rPr>
        <w:t>.Nat</w:t>
      </w:r>
      <w:proofErr w:type="spellEnd"/>
      <w:proofErr w:type="gramEnd"/>
      <w:r w:rsidRPr="00A343AF">
        <w:rPr>
          <w:i/>
          <w:iCs/>
          <w:color w:val="000000" w:themeColor="text1"/>
        </w:rPr>
        <w:t xml:space="preserve"> </w:t>
      </w:r>
      <w:proofErr w:type="spellStart"/>
      <w:r w:rsidRPr="00A343AF">
        <w:rPr>
          <w:i/>
          <w:iCs/>
          <w:color w:val="000000" w:themeColor="text1"/>
        </w:rPr>
        <w:t>Protoc</w:t>
      </w:r>
      <w:proofErr w:type="spellEnd"/>
      <w:r>
        <w:rPr>
          <w:color w:val="000000" w:themeColor="text1"/>
        </w:rPr>
        <w:t xml:space="preserve"> </w:t>
      </w:r>
      <w:r w:rsidRPr="00A343AF">
        <w:rPr>
          <w:color w:val="000000" w:themeColor="text1"/>
        </w:rPr>
        <w:t>2006;1(4):1810-9.</w:t>
      </w:r>
    </w:p>
    <w:p w14:paraId="3C6B14BE" w14:textId="77777777" w:rsidR="00067A9B" w:rsidRPr="0065087E" w:rsidRDefault="00067A9B" w:rsidP="00067A9B">
      <w:pPr>
        <w:rPr>
          <w:color w:val="000000" w:themeColor="text1"/>
        </w:rPr>
      </w:pPr>
      <w:r w:rsidRPr="0065087E">
        <w:rPr>
          <w:color w:val="000000" w:themeColor="text1"/>
        </w:rPr>
        <w:t xml:space="preserve">7.Moon </w:t>
      </w:r>
      <w:proofErr w:type="spellStart"/>
      <w:proofErr w:type="gramStart"/>
      <w:r w:rsidRPr="0065087E">
        <w:rPr>
          <w:color w:val="000000" w:themeColor="text1"/>
        </w:rPr>
        <w:t>JH,Hae</w:t>
      </w:r>
      <w:proofErr w:type="spellEnd"/>
      <w:proofErr w:type="gramEnd"/>
      <w:r w:rsidRPr="0065087E">
        <w:rPr>
          <w:color w:val="000000" w:themeColor="text1"/>
        </w:rPr>
        <w:t xml:space="preserve">-Won J, </w:t>
      </w:r>
      <w:proofErr w:type="spellStart"/>
      <w:r w:rsidRPr="0065087E">
        <w:rPr>
          <w:color w:val="000000" w:themeColor="text1"/>
        </w:rPr>
        <w:t>Hee</w:t>
      </w:r>
      <w:proofErr w:type="spellEnd"/>
      <w:r w:rsidRPr="0065087E">
        <w:rPr>
          <w:color w:val="000000" w:themeColor="text1"/>
        </w:rPr>
        <w:t>-Chun L et al. A study of experimental autoimmune</w:t>
      </w:r>
      <w:r>
        <w:rPr>
          <w:color w:val="000000" w:themeColor="text1"/>
        </w:rPr>
        <w:t xml:space="preserve"> </w:t>
      </w:r>
      <w:r w:rsidRPr="0065087E">
        <w:rPr>
          <w:color w:val="000000" w:themeColor="text1"/>
        </w:rPr>
        <w:t xml:space="preserve">encephalomyelitis in dogs as a disease model for canine necrotizing encephalitis. </w:t>
      </w:r>
      <w:r w:rsidRPr="0065087E">
        <w:rPr>
          <w:i/>
          <w:iCs/>
          <w:color w:val="000000" w:themeColor="text1"/>
        </w:rPr>
        <w:t>J Vet Sci</w:t>
      </w:r>
      <w:r w:rsidRPr="0065087E">
        <w:rPr>
          <w:color w:val="000000" w:themeColor="text1"/>
        </w:rPr>
        <w:t xml:space="preserve"> 2015;16(2):203-211</w:t>
      </w:r>
    </w:p>
    <w:p w14:paraId="73078913" w14:textId="77777777" w:rsidR="00067A9B" w:rsidRPr="00257063" w:rsidRDefault="00067A9B" w:rsidP="00067A9B">
      <w:pPr>
        <w:rPr>
          <w:color w:val="000000" w:themeColor="text1"/>
        </w:rPr>
      </w:pPr>
      <w:r>
        <w:rPr>
          <w:color w:val="000000" w:themeColor="text1"/>
        </w:rPr>
        <w:t>8.</w:t>
      </w:r>
      <w:r w:rsidRPr="00A343AF">
        <w:rPr>
          <w:color w:val="000000" w:themeColor="text1"/>
        </w:rPr>
        <w:t>Clem AS. Fundamentals of Vaccine Immunology</w:t>
      </w:r>
      <w:r w:rsidRPr="00A343AF">
        <w:rPr>
          <w:i/>
          <w:iCs/>
          <w:color w:val="000000" w:themeColor="text1"/>
        </w:rPr>
        <w:t>. J Glob Infect Dis</w:t>
      </w:r>
      <w:r>
        <w:rPr>
          <w:color w:val="000000" w:themeColor="text1"/>
        </w:rPr>
        <w:t xml:space="preserve"> </w:t>
      </w:r>
      <w:r w:rsidRPr="00A343AF">
        <w:rPr>
          <w:color w:val="000000" w:themeColor="text1"/>
        </w:rPr>
        <w:t>2011; 3(1): 73–78.</w:t>
      </w:r>
    </w:p>
    <w:p w14:paraId="032285C2" w14:textId="77777777" w:rsidR="00067A9B" w:rsidRPr="00257063" w:rsidRDefault="00067A9B" w:rsidP="00067A9B">
      <w:pPr>
        <w:rPr>
          <w:color w:val="000000" w:themeColor="text1"/>
        </w:rPr>
      </w:pPr>
      <w:r>
        <w:rPr>
          <w:color w:val="000000" w:themeColor="text1"/>
        </w:rPr>
        <w:t>9</w:t>
      </w:r>
      <w:r w:rsidRPr="00257063">
        <w:rPr>
          <w:color w:val="000000" w:themeColor="text1"/>
        </w:rPr>
        <w:t>.</w:t>
      </w:r>
      <w:r w:rsidRPr="00A343AF">
        <w:rPr>
          <w:color w:val="000000" w:themeColor="text1"/>
        </w:rPr>
        <w:t xml:space="preserve"> </w:t>
      </w:r>
      <w:r w:rsidRPr="00257063">
        <w:rPr>
          <w:color w:val="000000" w:themeColor="text1"/>
        </w:rPr>
        <w:t xml:space="preserve">Segal Y, </w:t>
      </w:r>
      <w:proofErr w:type="spellStart"/>
      <w:r w:rsidRPr="00257063">
        <w:rPr>
          <w:color w:val="000000" w:themeColor="text1"/>
        </w:rPr>
        <w:t>Shoenfeld</w:t>
      </w:r>
      <w:proofErr w:type="spellEnd"/>
      <w:r w:rsidRPr="00257063">
        <w:rPr>
          <w:color w:val="000000" w:themeColor="text1"/>
        </w:rPr>
        <w:t xml:space="preserve"> Y. Vaccine-induced autoimmunity: the role of molecular mimicry and immune </w:t>
      </w:r>
      <w:proofErr w:type="spellStart"/>
      <w:r w:rsidRPr="00257063">
        <w:rPr>
          <w:color w:val="000000" w:themeColor="text1"/>
        </w:rPr>
        <w:t>crossreaction</w:t>
      </w:r>
      <w:proofErr w:type="spellEnd"/>
      <w:r w:rsidRPr="00A343AF">
        <w:rPr>
          <w:i/>
          <w:iCs/>
          <w:color w:val="000000" w:themeColor="text1"/>
        </w:rPr>
        <w:t>. Cell Mol Immunol</w:t>
      </w:r>
      <w:r>
        <w:rPr>
          <w:color w:val="000000" w:themeColor="text1"/>
        </w:rPr>
        <w:t xml:space="preserve"> </w:t>
      </w:r>
      <w:proofErr w:type="gramStart"/>
      <w:r w:rsidRPr="00257063">
        <w:rPr>
          <w:color w:val="000000" w:themeColor="text1"/>
        </w:rPr>
        <w:t>2018;15:586</w:t>
      </w:r>
      <w:proofErr w:type="gramEnd"/>
      <w:r w:rsidRPr="00257063">
        <w:rPr>
          <w:color w:val="000000" w:themeColor="text1"/>
        </w:rPr>
        <w:t xml:space="preserve">-594.  </w:t>
      </w:r>
    </w:p>
    <w:p w14:paraId="5E720DA9" w14:textId="77777777" w:rsidR="00067A9B" w:rsidRPr="00257063" w:rsidRDefault="00067A9B" w:rsidP="00067A9B">
      <w:pPr>
        <w:rPr>
          <w:color w:val="000000" w:themeColor="text1"/>
        </w:rPr>
      </w:pPr>
      <w:r>
        <w:rPr>
          <w:color w:val="000000" w:themeColor="text1"/>
        </w:rPr>
        <w:t>10</w:t>
      </w:r>
      <w:r w:rsidRPr="00257063">
        <w:rPr>
          <w:color w:val="000000" w:themeColor="text1"/>
        </w:rPr>
        <w:t xml:space="preserve">.Toussirot E, </w:t>
      </w:r>
      <w:proofErr w:type="spellStart"/>
      <w:r w:rsidRPr="00257063">
        <w:rPr>
          <w:color w:val="000000" w:themeColor="text1"/>
        </w:rPr>
        <w:t>Bereau</w:t>
      </w:r>
      <w:proofErr w:type="spellEnd"/>
      <w:r w:rsidRPr="00257063">
        <w:rPr>
          <w:color w:val="000000" w:themeColor="text1"/>
        </w:rPr>
        <w:t xml:space="preserve"> M. Vaccination and induction of autoimmune diseases. </w:t>
      </w:r>
      <w:proofErr w:type="spellStart"/>
      <w:r w:rsidRPr="00845D34">
        <w:rPr>
          <w:i/>
          <w:iCs/>
          <w:color w:val="000000" w:themeColor="text1"/>
        </w:rPr>
        <w:t>Inflamm</w:t>
      </w:r>
      <w:proofErr w:type="spellEnd"/>
      <w:r w:rsidRPr="00845D34">
        <w:rPr>
          <w:i/>
          <w:iCs/>
          <w:color w:val="000000" w:themeColor="text1"/>
        </w:rPr>
        <w:t xml:space="preserve"> Allergy Drug Targets</w:t>
      </w:r>
      <w:r>
        <w:rPr>
          <w:color w:val="000000" w:themeColor="text1"/>
        </w:rPr>
        <w:t xml:space="preserve"> </w:t>
      </w:r>
      <w:proofErr w:type="gramStart"/>
      <w:r w:rsidRPr="00257063">
        <w:rPr>
          <w:color w:val="000000" w:themeColor="text1"/>
        </w:rPr>
        <w:t>2015;14:94</w:t>
      </w:r>
      <w:proofErr w:type="gramEnd"/>
      <w:r w:rsidRPr="00257063">
        <w:rPr>
          <w:color w:val="000000" w:themeColor="text1"/>
        </w:rPr>
        <w:t xml:space="preserve">-98. </w:t>
      </w:r>
    </w:p>
    <w:p w14:paraId="5882F05A" w14:textId="77777777" w:rsidR="00067A9B" w:rsidRPr="00257063" w:rsidRDefault="00067A9B" w:rsidP="00067A9B">
      <w:pPr>
        <w:rPr>
          <w:color w:val="000000" w:themeColor="text1"/>
        </w:rPr>
      </w:pPr>
      <w:r w:rsidRPr="00257063">
        <w:rPr>
          <w:color w:val="000000" w:themeColor="text1"/>
        </w:rPr>
        <w:t>1</w:t>
      </w:r>
      <w:r>
        <w:rPr>
          <w:color w:val="000000" w:themeColor="text1"/>
        </w:rPr>
        <w:t>1</w:t>
      </w:r>
      <w:r w:rsidRPr="00257063">
        <w:rPr>
          <w:color w:val="000000" w:themeColor="text1"/>
        </w:rPr>
        <w:t xml:space="preserve">.Carson MJ, </w:t>
      </w:r>
      <w:proofErr w:type="spellStart"/>
      <w:r w:rsidRPr="00257063">
        <w:rPr>
          <w:color w:val="000000" w:themeColor="text1"/>
        </w:rPr>
        <w:t>Doose</w:t>
      </w:r>
      <w:proofErr w:type="spellEnd"/>
      <w:r w:rsidRPr="00257063">
        <w:rPr>
          <w:color w:val="000000" w:themeColor="text1"/>
        </w:rPr>
        <w:t xml:space="preserve"> JM, Melchior B, et al. CNS immune privilege: hiding in plain </w:t>
      </w:r>
    </w:p>
    <w:p w14:paraId="324B8304" w14:textId="77777777" w:rsidR="00067A9B" w:rsidRPr="00257063" w:rsidRDefault="00067A9B" w:rsidP="00067A9B">
      <w:pPr>
        <w:rPr>
          <w:color w:val="000000" w:themeColor="text1"/>
        </w:rPr>
      </w:pPr>
      <w:r w:rsidRPr="00257063">
        <w:rPr>
          <w:color w:val="000000" w:themeColor="text1"/>
        </w:rPr>
        <w:t xml:space="preserve">sight. </w:t>
      </w:r>
      <w:r w:rsidRPr="00845D34">
        <w:rPr>
          <w:i/>
          <w:iCs/>
          <w:color w:val="000000" w:themeColor="text1"/>
        </w:rPr>
        <w:t>Immunol Rev</w:t>
      </w:r>
      <w:r w:rsidRPr="00257063">
        <w:rPr>
          <w:color w:val="000000" w:themeColor="text1"/>
        </w:rPr>
        <w:t xml:space="preserve"> </w:t>
      </w:r>
      <w:proofErr w:type="gramStart"/>
      <w:r w:rsidRPr="00257063">
        <w:rPr>
          <w:color w:val="000000" w:themeColor="text1"/>
        </w:rPr>
        <w:t>2006;213:48</w:t>
      </w:r>
      <w:proofErr w:type="gramEnd"/>
      <w:r w:rsidRPr="00257063">
        <w:rPr>
          <w:color w:val="000000" w:themeColor="text1"/>
        </w:rPr>
        <w:t>–65</w:t>
      </w:r>
    </w:p>
    <w:p w14:paraId="15EDED86" w14:textId="77777777" w:rsidR="00067A9B" w:rsidRPr="00257063" w:rsidRDefault="00067A9B" w:rsidP="00067A9B">
      <w:pPr>
        <w:rPr>
          <w:color w:val="000000" w:themeColor="text1"/>
        </w:rPr>
      </w:pPr>
      <w:r w:rsidRPr="00257063">
        <w:rPr>
          <w:color w:val="000000" w:themeColor="text1"/>
        </w:rPr>
        <w:lastRenderedPageBreak/>
        <w:t>1</w:t>
      </w:r>
      <w:r>
        <w:rPr>
          <w:color w:val="000000" w:themeColor="text1"/>
        </w:rPr>
        <w:t>2</w:t>
      </w:r>
      <w:r w:rsidRPr="00257063">
        <w:rPr>
          <w:color w:val="000000" w:themeColor="text1"/>
        </w:rPr>
        <w:t xml:space="preserve">.Lyman M, Lloyd DG, </w:t>
      </w:r>
      <w:proofErr w:type="spellStart"/>
      <w:r w:rsidRPr="00257063">
        <w:rPr>
          <w:color w:val="000000" w:themeColor="text1"/>
        </w:rPr>
        <w:t>Sunming</w:t>
      </w:r>
      <w:proofErr w:type="spellEnd"/>
      <w:r w:rsidRPr="00257063">
        <w:rPr>
          <w:color w:val="000000" w:themeColor="text1"/>
        </w:rPr>
        <w:t xml:space="preserve"> J, et al. Neuroinflammation: the role and con- sequences. </w:t>
      </w:r>
      <w:proofErr w:type="spellStart"/>
      <w:r w:rsidRPr="00845D34">
        <w:rPr>
          <w:i/>
          <w:iCs/>
          <w:color w:val="000000" w:themeColor="text1"/>
        </w:rPr>
        <w:t>Neurosci</w:t>
      </w:r>
      <w:proofErr w:type="spellEnd"/>
      <w:r w:rsidRPr="00845D34">
        <w:rPr>
          <w:i/>
          <w:iCs/>
          <w:color w:val="000000" w:themeColor="text1"/>
        </w:rPr>
        <w:t xml:space="preserve"> Res</w:t>
      </w:r>
      <w:r w:rsidRPr="00257063">
        <w:rPr>
          <w:color w:val="000000" w:themeColor="text1"/>
        </w:rPr>
        <w:t xml:space="preserve"> </w:t>
      </w:r>
      <w:proofErr w:type="gramStart"/>
      <w:r w:rsidRPr="00257063">
        <w:rPr>
          <w:color w:val="000000" w:themeColor="text1"/>
        </w:rPr>
        <w:t>2014;79:1</w:t>
      </w:r>
      <w:proofErr w:type="gramEnd"/>
      <w:r w:rsidRPr="00257063">
        <w:rPr>
          <w:color w:val="000000" w:themeColor="text1"/>
        </w:rPr>
        <w:t xml:space="preserve">–12. </w:t>
      </w:r>
    </w:p>
    <w:p w14:paraId="63BDE294" w14:textId="77777777" w:rsidR="00067A9B" w:rsidRPr="00257063" w:rsidRDefault="00067A9B" w:rsidP="00067A9B">
      <w:pPr>
        <w:rPr>
          <w:color w:val="000000" w:themeColor="text1"/>
        </w:rPr>
      </w:pPr>
      <w:r w:rsidRPr="00257063">
        <w:rPr>
          <w:color w:val="000000" w:themeColor="text1"/>
        </w:rPr>
        <w:t>1</w:t>
      </w:r>
      <w:r>
        <w:rPr>
          <w:color w:val="000000" w:themeColor="text1"/>
        </w:rPr>
        <w:t>3</w:t>
      </w:r>
      <w:r w:rsidRPr="00257063">
        <w:rPr>
          <w:color w:val="000000" w:themeColor="text1"/>
        </w:rPr>
        <w:t xml:space="preserve">.Abbas AK, Lichtman AH, Pillai S. Cellular and molecular immunology. St Louis (MO): Elsevier; 2012. </w:t>
      </w:r>
    </w:p>
    <w:p w14:paraId="06AA2AC0" w14:textId="0FFFFEBB" w:rsidR="00067A9B" w:rsidRDefault="00067A9B" w:rsidP="00067A9B">
      <w:pPr>
        <w:rPr>
          <w:color w:val="000000" w:themeColor="text1"/>
        </w:rPr>
      </w:pPr>
      <w:r w:rsidRPr="00257063">
        <w:rPr>
          <w:color w:val="000000" w:themeColor="text1"/>
        </w:rPr>
        <w:t>1</w:t>
      </w:r>
      <w:r>
        <w:rPr>
          <w:color w:val="000000" w:themeColor="text1"/>
        </w:rPr>
        <w:t>4</w:t>
      </w:r>
      <w:r w:rsidRPr="00257063">
        <w:rPr>
          <w:color w:val="000000" w:themeColor="text1"/>
        </w:rPr>
        <w:t xml:space="preserve">.Gershwin LJ. Autoimmune diseases in small animals. </w:t>
      </w:r>
      <w:r w:rsidRPr="00845D34">
        <w:rPr>
          <w:i/>
          <w:iCs/>
          <w:color w:val="000000" w:themeColor="text1"/>
        </w:rPr>
        <w:t xml:space="preserve">Vet Clin North Am Small </w:t>
      </w:r>
      <w:proofErr w:type="spellStart"/>
      <w:r w:rsidRPr="00845D34">
        <w:rPr>
          <w:i/>
          <w:iCs/>
          <w:color w:val="000000" w:themeColor="text1"/>
        </w:rPr>
        <w:t>Anim</w:t>
      </w:r>
      <w:proofErr w:type="spellEnd"/>
      <w:r w:rsidRPr="00845D34">
        <w:rPr>
          <w:i/>
          <w:iCs/>
          <w:color w:val="000000" w:themeColor="text1"/>
        </w:rPr>
        <w:t xml:space="preserve"> </w:t>
      </w:r>
      <w:proofErr w:type="spellStart"/>
      <w:r w:rsidRPr="00845D34">
        <w:rPr>
          <w:i/>
          <w:iCs/>
          <w:color w:val="000000" w:themeColor="text1"/>
        </w:rPr>
        <w:t>Pract</w:t>
      </w:r>
      <w:proofErr w:type="spellEnd"/>
      <w:r w:rsidRPr="00257063">
        <w:rPr>
          <w:color w:val="000000" w:themeColor="text1"/>
        </w:rPr>
        <w:t xml:space="preserve"> 2010;40(3):439–57. </w:t>
      </w:r>
    </w:p>
    <w:p w14:paraId="5817FC66" w14:textId="0472228E" w:rsidR="000E1FE3" w:rsidRDefault="000E1FE3" w:rsidP="00067A9B">
      <w:pPr>
        <w:rPr>
          <w:color w:val="000000" w:themeColor="text1"/>
        </w:rPr>
      </w:pPr>
      <w:r>
        <w:rPr>
          <w:color w:val="000000" w:themeColor="text1"/>
        </w:rPr>
        <w:t>15.</w:t>
      </w:r>
      <w:r w:rsidR="009778ED" w:rsidRPr="009778ED">
        <w:rPr>
          <w:color w:val="000000" w:themeColor="text1"/>
        </w:rPr>
        <w:t xml:space="preserve"> </w:t>
      </w:r>
      <w:r w:rsidR="009778ED" w:rsidRPr="00A041FC">
        <w:rPr>
          <w:color w:val="000000" w:themeColor="text1"/>
        </w:rPr>
        <w:t>Clopper CJ</w:t>
      </w:r>
      <w:r w:rsidR="009778ED">
        <w:rPr>
          <w:color w:val="000000" w:themeColor="text1"/>
        </w:rPr>
        <w:t xml:space="preserve">, </w:t>
      </w:r>
      <w:r w:rsidR="009778ED" w:rsidRPr="00A041FC">
        <w:rPr>
          <w:color w:val="000000" w:themeColor="text1"/>
        </w:rPr>
        <w:t>Pearson</w:t>
      </w:r>
      <w:r w:rsidR="009778ED">
        <w:rPr>
          <w:color w:val="000000" w:themeColor="text1"/>
        </w:rPr>
        <w:t xml:space="preserve"> ES</w:t>
      </w:r>
      <w:r w:rsidR="009778ED" w:rsidRPr="00A041FC">
        <w:rPr>
          <w:color w:val="000000" w:themeColor="text1"/>
        </w:rPr>
        <w:t xml:space="preserve">. The Use of Confidence or Fiducial Limits Illustrated in the Case of the </w:t>
      </w:r>
      <w:proofErr w:type="spellStart"/>
      <w:r w:rsidR="009778ED" w:rsidRPr="00A041FC">
        <w:rPr>
          <w:color w:val="000000" w:themeColor="text1"/>
        </w:rPr>
        <w:t>Binomial.</w:t>
      </w:r>
      <w:r w:rsidR="009778ED" w:rsidRPr="00A041FC">
        <w:rPr>
          <w:i/>
          <w:iCs/>
          <w:color w:val="000000" w:themeColor="text1"/>
        </w:rPr>
        <w:t>Biometrika</w:t>
      </w:r>
      <w:proofErr w:type="spellEnd"/>
      <w:r w:rsidR="009778ED" w:rsidRPr="00A041FC">
        <w:rPr>
          <w:color w:val="000000" w:themeColor="text1"/>
        </w:rPr>
        <w:t xml:space="preserve"> 1934</w:t>
      </w:r>
      <w:r w:rsidR="009778ED">
        <w:rPr>
          <w:color w:val="000000" w:themeColor="text1"/>
        </w:rPr>
        <w:t>;26 (4):</w:t>
      </w:r>
      <w:r w:rsidR="009778ED" w:rsidRPr="00A041FC">
        <w:rPr>
          <w:color w:val="000000" w:themeColor="text1"/>
        </w:rPr>
        <w:t xml:space="preserve">404–413. JSTOR, </w:t>
      </w:r>
      <w:r w:rsidR="009778ED" w:rsidRPr="00F1329C">
        <w:t>www.jstor.org/stable/2331986</w:t>
      </w:r>
      <w:r>
        <w:rPr>
          <w:color w:val="000000" w:themeColor="text1"/>
        </w:rPr>
        <w:t>16.</w:t>
      </w:r>
      <w:r w:rsidR="009778ED" w:rsidRPr="009778ED">
        <w:rPr>
          <w:color w:val="000000" w:themeColor="text1"/>
        </w:rPr>
        <w:t xml:space="preserve"> </w:t>
      </w:r>
      <w:r w:rsidR="009778ED" w:rsidRPr="00A041FC">
        <w:rPr>
          <w:color w:val="000000" w:themeColor="text1"/>
        </w:rPr>
        <w:t>Maclure M. The case-crossover design: a method for studying transient effects</w:t>
      </w:r>
      <w:r w:rsidR="009778ED">
        <w:t xml:space="preserve"> </w:t>
      </w:r>
      <w:r w:rsidR="009778ED" w:rsidRPr="00A041FC">
        <w:rPr>
          <w:color w:val="000000" w:themeColor="text1"/>
        </w:rPr>
        <w:t xml:space="preserve">on the risk of acute events. </w:t>
      </w:r>
      <w:r w:rsidR="009778ED" w:rsidRPr="00A041FC">
        <w:rPr>
          <w:i/>
          <w:iCs/>
          <w:color w:val="000000" w:themeColor="text1"/>
        </w:rPr>
        <w:t>Am J Epidemiol</w:t>
      </w:r>
      <w:r w:rsidR="009778ED" w:rsidRPr="00A041FC">
        <w:rPr>
          <w:color w:val="000000" w:themeColor="text1"/>
        </w:rPr>
        <w:t xml:space="preserve"> 1991;133(2):144-53.</w:t>
      </w:r>
    </w:p>
    <w:p w14:paraId="0555D2A7" w14:textId="76C62834" w:rsidR="00641AD0" w:rsidRPr="00DB183D" w:rsidRDefault="00641AD0" w:rsidP="00F1329C">
      <w:pPr>
        <w:pStyle w:val="Titolo1"/>
        <w:numPr>
          <w:ilvl w:val="0"/>
          <w:numId w:val="0"/>
        </w:numPr>
        <w:shd w:val="clear" w:color="auto" w:fill="FFFFFF"/>
        <w:rPr>
          <w:color w:val="000000" w:themeColor="text1"/>
        </w:rPr>
      </w:pPr>
      <w:r>
        <w:rPr>
          <w:color w:val="000000" w:themeColor="text1"/>
        </w:rPr>
        <w:t>1</w:t>
      </w:r>
      <w:r w:rsidR="000E1FE3">
        <w:rPr>
          <w:color w:val="000000" w:themeColor="text1"/>
        </w:rPr>
        <w:t>7</w:t>
      </w:r>
      <w:r>
        <w:rPr>
          <w:color w:val="000000" w:themeColor="text1"/>
        </w:rPr>
        <w:t>.</w:t>
      </w:r>
      <w:r w:rsidR="00DB183D" w:rsidRPr="00DB183D">
        <w:rPr>
          <w:color w:val="000000" w:themeColor="text1"/>
        </w:rPr>
        <w:t xml:space="preserve"> </w:t>
      </w:r>
      <w:proofErr w:type="spellStart"/>
      <w:r w:rsidR="00DB183D" w:rsidRPr="00F1329C">
        <w:rPr>
          <w:b w:val="0"/>
          <w:color w:val="000000" w:themeColor="text1"/>
        </w:rPr>
        <w:t>Lowrie</w:t>
      </w:r>
      <w:proofErr w:type="spellEnd"/>
      <w:r w:rsidR="00DB183D" w:rsidRPr="00F1329C">
        <w:rPr>
          <w:b w:val="0"/>
          <w:color w:val="000000" w:themeColor="text1"/>
        </w:rPr>
        <w:t xml:space="preserve"> </w:t>
      </w:r>
      <w:proofErr w:type="spellStart"/>
      <w:proofErr w:type="gramStart"/>
      <w:r w:rsidR="00DB183D" w:rsidRPr="00F1329C">
        <w:rPr>
          <w:b w:val="0"/>
          <w:color w:val="000000" w:themeColor="text1"/>
        </w:rPr>
        <w:t>M,Smith</w:t>
      </w:r>
      <w:proofErr w:type="spellEnd"/>
      <w:proofErr w:type="gramEnd"/>
      <w:r w:rsidR="00DB183D" w:rsidRPr="00F1329C">
        <w:rPr>
          <w:b w:val="0"/>
          <w:color w:val="000000" w:themeColor="text1"/>
        </w:rPr>
        <w:t xml:space="preserve"> PM, </w:t>
      </w:r>
      <w:proofErr w:type="spellStart"/>
      <w:r w:rsidR="00DB183D" w:rsidRPr="00F1329C">
        <w:rPr>
          <w:b w:val="0"/>
          <w:color w:val="000000" w:themeColor="text1"/>
        </w:rPr>
        <w:t>Gorosi</w:t>
      </w:r>
      <w:proofErr w:type="spellEnd"/>
      <w:r w:rsidR="00DB183D" w:rsidRPr="00F1329C">
        <w:rPr>
          <w:b w:val="0"/>
          <w:color w:val="000000" w:themeColor="text1"/>
        </w:rPr>
        <w:t xml:space="preserve"> L.</w:t>
      </w:r>
      <w:r w:rsidR="00DB183D" w:rsidRPr="00F1329C">
        <w:rPr>
          <w:b w:val="0"/>
        </w:rPr>
        <w:t xml:space="preserve"> Meningoencephalitis of unknown origin: investigation of prognostic factors and outcome using a standard treatment </w:t>
      </w:r>
      <w:proofErr w:type="spellStart"/>
      <w:r w:rsidR="00DB183D" w:rsidRPr="00F1329C">
        <w:rPr>
          <w:b w:val="0"/>
        </w:rPr>
        <w:t>protocol.</w:t>
      </w:r>
      <w:r w:rsidR="00DB183D" w:rsidRPr="00F1329C">
        <w:rPr>
          <w:b w:val="0"/>
          <w:i/>
          <w:iCs/>
          <w:color w:val="000000" w:themeColor="text1"/>
        </w:rPr>
        <w:t>Vet</w:t>
      </w:r>
      <w:proofErr w:type="spellEnd"/>
      <w:r w:rsidR="00DB183D" w:rsidRPr="00F1329C">
        <w:rPr>
          <w:b w:val="0"/>
          <w:i/>
          <w:iCs/>
          <w:color w:val="000000" w:themeColor="text1"/>
        </w:rPr>
        <w:t xml:space="preserve"> Rec</w:t>
      </w:r>
      <w:r w:rsidR="00DB183D" w:rsidRPr="00234E56">
        <w:rPr>
          <w:color w:val="000000" w:themeColor="text1"/>
        </w:rPr>
        <w:t xml:space="preserve"> 2013; 172(20):5</w:t>
      </w:r>
      <w:r w:rsidR="00AB5513">
        <w:rPr>
          <w:color w:val="000000" w:themeColor="text1"/>
        </w:rPr>
        <w:t>2</w:t>
      </w:r>
      <w:r w:rsidRPr="00DB183D">
        <w:rPr>
          <w:rFonts w:eastAsiaTheme="minorHAnsi" w:cstheme="minorBidi"/>
          <w:b w:val="0"/>
          <w:color w:val="000000" w:themeColor="text1"/>
          <w:szCs w:val="22"/>
        </w:rPr>
        <w:t>1</w:t>
      </w:r>
      <w:r w:rsidR="000E1FE3">
        <w:rPr>
          <w:rFonts w:eastAsiaTheme="minorHAnsi" w:cstheme="minorBidi"/>
          <w:b w:val="0"/>
          <w:color w:val="000000" w:themeColor="text1"/>
          <w:szCs w:val="22"/>
        </w:rPr>
        <w:t>8</w:t>
      </w:r>
      <w:r w:rsidRPr="00DB183D">
        <w:rPr>
          <w:rFonts w:eastAsiaTheme="minorHAnsi" w:cstheme="minorBidi"/>
          <w:b w:val="0"/>
          <w:color w:val="000000" w:themeColor="text1"/>
          <w:szCs w:val="22"/>
        </w:rPr>
        <w:t>.</w:t>
      </w:r>
      <w:r w:rsidR="00DB183D" w:rsidRPr="00DB183D">
        <w:rPr>
          <w:rFonts w:eastAsiaTheme="minorHAnsi" w:cstheme="minorBidi"/>
          <w:b w:val="0"/>
          <w:color w:val="000000" w:themeColor="text1"/>
          <w:szCs w:val="22"/>
        </w:rPr>
        <w:t xml:space="preserve">Cornelis I, Volk </w:t>
      </w:r>
      <w:proofErr w:type="spellStart"/>
      <w:r w:rsidR="00DB183D" w:rsidRPr="00DB183D">
        <w:rPr>
          <w:rFonts w:eastAsiaTheme="minorHAnsi" w:cstheme="minorBidi"/>
          <w:b w:val="0"/>
          <w:color w:val="000000" w:themeColor="text1"/>
          <w:szCs w:val="22"/>
        </w:rPr>
        <w:t>HA,Van</w:t>
      </w:r>
      <w:proofErr w:type="spellEnd"/>
      <w:r w:rsidR="00DB183D" w:rsidRPr="00DB183D">
        <w:rPr>
          <w:rFonts w:eastAsiaTheme="minorHAnsi" w:cstheme="minorBidi"/>
          <w:b w:val="0"/>
          <w:color w:val="000000" w:themeColor="text1"/>
          <w:szCs w:val="22"/>
        </w:rPr>
        <w:t xml:space="preserve"> H</w:t>
      </w:r>
      <w:r w:rsidR="00DB183D" w:rsidRPr="00F1329C">
        <w:rPr>
          <w:rFonts w:eastAsiaTheme="minorHAnsi" w:cstheme="minorBidi"/>
          <w:b w:val="0"/>
          <w:color w:val="000000" w:themeColor="text1"/>
          <w:szCs w:val="22"/>
        </w:rPr>
        <w:t xml:space="preserve">am L et al. Prognostic factors for 1-week survival in dogs diagnosed with meningoencephalitis of unknown </w:t>
      </w:r>
      <w:proofErr w:type="spellStart"/>
      <w:r w:rsidR="00DB183D" w:rsidRPr="00F1329C">
        <w:rPr>
          <w:rFonts w:eastAsiaTheme="minorHAnsi" w:cstheme="minorBidi"/>
          <w:b w:val="0"/>
          <w:color w:val="000000" w:themeColor="text1"/>
          <w:szCs w:val="22"/>
        </w:rPr>
        <w:t>aetiology</w:t>
      </w:r>
      <w:r w:rsidR="00DB183D">
        <w:rPr>
          <w:rFonts w:eastAsiaTheme="minorHAnsi" w:cstheme="minorBidi"/>
          <w:b w:val="0"/>
          <w:color w:val="000000" w:themeColor="text1"/>
          <w:szCs w:val="22"/>
        </w:rPr>
        <w:t>.</w:t>
      </w:r>
      <w:r w:rsidR="00DB183D" w:rsidRPr="00F1329C">
        <w:rPr>
          <w:rFonts w:eastAsiaTheme="minorHAnsi" w:cstheme="minorBidi"/>
          <w:b w:val="0"/>
          <w:i/>
          <w:iCs/>
          <w:color w:val="000000" w:themeColor="text1"/>
          <w:szCs w:val="22"/>
        </w:rPr>
        <w:t>Vet</w:t>
      </w:r>
      <w:proofErr w:type="spellEnd"/>
      <w:r w:rsidR="00DB183D" w:rsidRPr="00F1329C">
        <w:rPr>
          <w:rFonts w:eastAsiaTheme="minorHAnsi" w:cstheme="minorBidi"/>
          <w:b w:val="0"/>
          <w:i/>
          <w:iCs/>
          <w:color w:val="000000" w:themeColor="text1"/>
          <w:szCs w:val="22"/>
        </w:rPr>
        <w:t xml:space="preserve"> J</w:t>
      </w:r>
      <w:r w:rsidR="00DB183D">
        <w:rPr>
          <w:rFonts w:eastAsiaTheme="minorHAnsi" w:cstheme="minorBidi"/>
          <w:b w:val="0"/>
          <w:color w:val="000000" w:themeColor="text1"/>
          <w:szCs w:val="22"/>
        </w:rPr>
        <w:t xml:space="preserve"> 2016;214:91-5</w:t>
      </w:r>
    </w:p>
    <w:p w14:paraId="4936B934" w14:textId="6A3A0FC8" w:rsidR="00067A9B" w:rsidRPr="00257063" w:rsidRDefault="00067A9B" w:rsidP="00067A9B">
      <w:pPr>
        <w:rPr>
          <w:color w:val="000000" w:themeColor="text1"/>
        </w:rPr>
      </w:pPr>
      <w:r w:rsidRPr="00A343AF">
        <w:rPr>
          <w:color w:val="000000" w:themeColor="text1"/>
        </w:rPr>
        <w:t>1</w:t>
      </w:r>
      <w:r w:rsidR="009778ED">
        <w:rPr>
          <w:color w:val="000000" w:themeColor="text1"/>
        </w:rPr>
        <w:t>9</w:t>
      </w:r>
      <w:r w:rsidR="00AB5513">
        <w:rPr>
          <w:color w:val="000000" w:themeColor="text1"/>
        </w:rPr>
        <w:t>.</w:t>
      </w:r>
      <w:r w:rsidRPr="00A343AF">
        <w:rPr>
          <w:color w:val="000000" w:themeColor="text1"/>
        </w:rPr>
        <w:t xml:space="preserve">Duval D, Giger U. Vaccine-associated immune-mediated hemolytic anemia in the dog. </w:t>
      </w:r>
      <w:r w:rsidRPr="00845D34">
        <w:rPr>
          <w:i/>
          <w:iCs/>
          <w:color w:val="000000" w:themeColor="text1"/>
        </w:rPr>
        <w:t>J Vet Intern Med</w:t>
      </w:r>
      <w:r>
        <w:rPr>
          <w:color w:val="000000" w:themeColor="text1"/>
        </w:rPr>
        <w:t xml:space="preserve"> </w:t>
      </w:r>
      <w:r w:rsidRPr="00A343AF">
        <w:rPr>
          <w:color w:val="000000" w:themeColor="text1"/>
        </w:rPr>
        <w:t>1996;10(5):290-5.</w:t>
      </w:r>
    </w:p>
    <w:p w14:paraId="536BD53C" w14:textId="4BD8FB6B" w:rsidR="00067A9B" w:rsidRDefault="009778ED" w:rsidP="00067A9B">
      <w:pPr>
        <w:rPr>
          <w:color w:val="000000" w:themeColor="text1"/>
        </w:rPr>
      </w:pPr>
      <w:r>
        <w:rPr>
          <w:color w:val="000000" w:themeColor="text1"/>
          <w:lang w:val="de-DE"/>
        </w:rPr>
        <w:t>20</w:t>
      </w:r>
      <w:r w:rsidR="00067A9B" w:rsidRPr="006170E8">
        <w:rPr>
          <w:color w:val="000000" w:themeColor="text1"/>
          <w:lang w:val="de-DE"/>
        </w:rPr>
        <w:t xml:space="preserve">.Garden </w:t>
      </w:r>
      <w:proofErr w:type="spellStart"/>
      <w:proofErr w:type="gramStart"/>
      <w:r w:rsidR="00067A9B" w:rsidRPr="006170E8">
        <w:rPr>
          <w:color w:val="000000" w:themeColor="text1"/>
          <w:lang w:val="de-DE"/>
        </w:rPr>
        <w:t>OA,Kidd</w:t>
      </w:r>
      <w:proofErr w:type="spellEnd"/>
      <w:proofErr w:type="gramEnd"/>
      <w:r w:rsidR="00067A9B" w:rsidRPr="006170E8">
        <w:rPr>
          <w:color w:val="000000" w:themeColor="text1"/>
          <w:lang w:val="de-DE"/>
        </w:rPr>
        <w:t xml:space="preserve"> L, </w:t>
      </w:r>
      <w:proofErr w:type="spellStart"/>
      <w:r w:rsidR="00067A9B" w:rsidRPr="006170E8">
        <w:rPr>
          <w:color w:val="000000" w:themeColor="text1"/>
          <w:lang w:val="de-DE"/>
        </w:rPr>
        <w:t>Mexas</w:t>
      </w:r>
      <w:proofErr w:type="spellEnd"/>
      <w:r w:rsidR="00067A9B" w:rsidRPr="006170E8">
        <w:rPr>
          <w:color w:val="000000" w:themeColor="text1"/>
          <w:lang w:val="de-DE"/>
        </w:rPr>
        <w:t xml:space="preserve"> AM et al. </w:t>
      </w:r>
      <w:r w:rsidR="00067A9B" w:rsidRPr="00257063">
        <w:rPr>
          <w:color w:val="000000" w:themeColor="text1"/>
        </w:rPr>
        <w:t>ACVIM Consensus Statement on the Diagnosis of Immune-Mediated Hemolytic Anemia in Dogs and Cats</w:t>
      </w:r>
      <w:r w:rsidR="00067A9B" w:rsidRPr="00845D34">
        <w:rPr>
          <w:i/>
          <w:iCs/>
          <w:color w:val="000000" w:themeColor="text1"/>
        </w:rPr>
        <w:t>. J Vet Intern Med</w:t>
      </w:r>
      <w:r w:rsidR="00067A9B" w:rsidRPr="00257063">
        <w:rPr>
          <w:color w:val="000000" w:themeColor="text1"/>
        </w:rPr>
        <w:t> 2019;33(3):1141-1172</w:t>
      </w:r>
    </w:p>
    <w:p w14:paraId="6AE0345D" w14:textId="430C1736" w:rsidR="00067A9B" w:rsidRDefault="009778ED" w:rsidP="00067A9B">
      <w:pPr>
        <w:shd w:val="clear" w:color="auto" w:fill="FFFFFF"/>
        <w:rPr>
          <w:color w:val="000000" w:themeColor="text1"/>
        </w:rPr>
      </w:pPr>
      <w:r>
        <w:rPr>
          <w:color w:val="000000" w:themeColor="text1"/>
        </w:rPr>
        <w:t>21</w:t>
      </w:r>
      <w:r w:rsidR="00067A9B">
        <w:rPr>
          <w:color w:val="000000" w:themeColor="text1"/>
        </w:rPr>
        <w:t xml:space="preserve">. Jeffery </w:t>
      </w:r>
      <w:proofErr w:type="spellStart"/>
      <w:proofErr w:type="gramStart"/>
      <w:r w:rsidR="00067A9B">
        <w:rPr>
          <w:color w:val="000000" w:themeColor="text1"/>
        </w:rPr>
        <w:t>ND,Barker</w:t>
      </w:r>
      <w:proofErr w:type="spellEnd"/>
      <w:proofErr w:type="gramEnd"/>
      <w:r w:rsidR="00067A9B">
        <w:rPr>
          <w:color w:val="000000" w:themeColor="text1"/>
        </w:rPr>
        <w:t xml:space="preserve"> AK, Alcott CJ et al.</w:t>
      </w:r>
      <w:r w:rsidR="00067A9B" w:rsidRPr="000636B0">
        <w:rPr>
          <w:color w:val="000000" w:themeColor="text1"/>
        </w:rPr>
        <w:t xml:space="preserve"> The Association of Specific Constituents of the Fecal Microbiota with Immune-Mediated Brain Disease in Dogs. </w:t>
      </w:r>
      <w:proofErr w:type="spellStart"/>
      <w:r w:rsidR="00067A9B" w:rsidRPr="000636B0">
        <w:rPr>
          <w:i/>
          <w:iCs/>
          <w:color w:val="000000" w:themeColor="text1"/>
        </w:rPr>
        <w:t>PLoS</w:t>
      </w:r>
      <w:proofErr w:type="spellEnd"/>
      <w:r w:rsidR="00067A9B" w:rsidRPr="000636B0">
        <w:rPr>
          <w:i/>
          <w:iCs/>
          <w:color w:val="000000" w:themeColor="text1"/>
        </w:rPr>
        <w:t xml:space="preserve"> One</w:t>
      </w:r>
      <w:r w:rsidR="00067A9B" w:rsidRPr="000636B0">
        <w:rPr>
          <w:color w:val="000000" w:themeColor="text1"/>
        </w:rPr>
        <w:t xml:space="preserve"> 2017 26;12(1)</w:t>
      </w:r>
    </w:p>
    <w:p w14:paraId="041BE422" w14:textId="12D09018" w:rsidR="004A242B" w:rsidRPr="000636B0" w:rsidRDefault="004A242B" w:rsidP="00067A9B">
      <w:pPr>
        <w:shd w:val="clear" w:color="auto" w:fill="FFFFFF"/>
        <w:rPr>
          <w:color w:val="000000" w:themeColor="text1"/>
        </w:rPr>
      </w:pPr>
      <w:r>
        <w:rPr>
          <w:color w:val="000000" w:themeColor="text1"/>
        </w:rPr>
        <w:t>2</w:t>
      </w:r>
      <w:r w:rsidR="009778ED">
        <w:rPr>
          <w:color w:val="000000" w:themeColor="text1"/>
        </w:rPr>
        <w:t>2.</w:t>
      </w:r>
      <w:r w:rsidR="0061395C">
        <w:rPr>
          <w:color w:val="000000" w:themeColor="text1"/>
        </w:rPr>
        <w:t xml:space="preserve"> Barnes Heller </w:t>
      </w:r>
      <w:proofErr w:type="spellStart"/>
      <w:proofErr w:type="gramStart"/>
      <w:r w:rsidR="0061395C">
        <w:rPr>
          <w:color w:val="000000" w:themeColor="text1"/>
        </w:rPr>
        <w:t>HL,Granick</w:t>
      </w:r>
      <w:proofErr w:type="spellEnd"/>
      <w:proofErr w:type="gramEnd"/>
      <w:r w:rsidR="0061395C">
        <w:rPr>
          <w:color w:val="000000" w:themeColor="text1"/>
        </w:rPr>
        <w:t xml:space="preserve"> </w:t>
      </w:r>
      <w:proofErr w:type="spellStart"/>
      <w:r w:rsidR="0061395C">
        <w:rPr>
          <w:color w:val="000000" w:themeColor="text1"/>
        </w:rPr>
        <w:t>N,Pinkerton</w:t>
      </w:r>
      <w:proofErr w:type="spellEnd"/>
      <w:r w:rsidR="0061395C">
        <w:rPr>
          <w:color w:val="000000" w:themeColor="text1"/>
        </w:rPr>
        <w:t xml:space="preserve"> ME et al. Case-control study of risk factors for granulomatous </w:t>
      </w:r>
      <w:proofErr w:type="spellStart"/>
      <w:r w:rsidR="0061395C">
        <w:rPr>
          <w:color w:val="000000" w:themeColor="text1"/>
        </w:rPr>
        <w:t>meningoencephalomyelitis</w:t>
      </w:r>
      <w:proofErr w:type="spellEnd"/>
      <w:r w:rsidR="0061395C">
        <w:rPr>
          <w:color w:val="000000" w:themeColor="text1"/>
        </w:rPr>
        <w:t xml:space="preserve"> in </w:t>
      </w:r>
      <w:proofErr w:type="spellStart"/>
      <w:r w:rsidR="0061395C">
        <w:rPr>
          <w:color w:val="000000" w:themeColor="text1"/>
        </w:rPr>
        <w:t>dogs.</w:t>
      </w:r>
      <w:r w:rsidR="0061395C" w:rsidRPr="00F1329C">
        <w:rPr>
          <w:i/>
          <w:iCs/>
          <w:color w:val="000000" w:themeColor="text1"/>
        </w:rPr>
        <w:t>J</w:t>
      </w:r>
      <w:proofErr w:type="spellEnd"/>
      <w:r w:rsidR="0061395C" w:rsidRPr="00F1329C">
        <w:rPr>
          <w:i/>
          <w:iCs/>
          <w:color w:val="000000" w:themeColor="text1"/>
        </w:rPr>
        <w:t xml:space="preserve"> Am Vet Med Assoc</w:t>
      </w:r>
      <w:r w:rsidR="0061395C">
        <w:rPr>
          <w:color w:val="000000" w:themeColor="text1"/>
        </w:rPr>
        <w:t xml:space="preserve"> 2019;254 (7):822-825</w:t>
      </w:r>
    </w:p>
    <w:p w14:paraId="2CA0C82A" w14:textId="1AD9B8A9" w:rsidR="00067A9B" w:rsidRPr="00A343AF" w:rsidRDefault="00A041FC" w:rsidP="00067A9B">
      <w:pPr>
        <w:rPr>
          <w:color w:val="000000" w:themeColor="text1"/>
        </w:rPr>
      </w:pPr>
      <w:r>
        <w:rPr>
          <w:color w:val="000000" w:themeColor="text1"/>
        </w:rPr>
        <w:t>2</w:t>
      </w:r>
      <w:r w:rsidR="0061395C">
        <w:rPr>
          <w:color w:val="000000" w:themeColor="text1"/>
        </w:rPr>
        <w:t>3</w:t>
      </w:r>
      <w:r>
        <w:rPr>
          <w:color w:val="000000" w:themeColor="text1"/>
        </w:rPr>
        <w:t>.</w:t>
      </w:r>
      <w:r w:rsidR="00067A9B" w:rsidRPr="00A343AF">
        <w:rPr>
          <w:color w:val="000000" w:themeColor="text1"/>
        </w:rPr>
        <w:t xml:space="preserve"> </w:t>
      </w:r>
      <w:r w:rsidR="00067A9B" w:rsidRPr="004B5ED3">
        <w:rPr>
          <w:color w:val="000000" w:themeColor="text1"/>
        </w:rPr>
        <w:t xml:space="preserve">Moon </w:t>
      </w:r>
      <w:proofErr w:type="spellStart"/>
      <w:proofErr w:type="gramStart"/>
      <w:r w:rsidR="00067A9B" w:rsidRPr="004B5ED3">
        <w:rPr>
          <w:color w:val="000000" w:themeColor="text1"/>
        </w:rPr>
        <w:t>A,Veir</w:t>
      </w:r>
      <w:proofErr w:type="spellEnd"/>
      <w:proofErr w:type="gramEnd"/>
      <w:r w:rsidR="00067A9B" w:rsidRPr="004B5ED3">
        <w:rPr>
          <w:color w:val="000000" w:themeColor="text1"/>
        </w:rPr>
        <w:t xml:space="preserve"> J.</w:t>
      </w:r>
      <w:r w:rsidR="00067A9B">
        <w:rPr>
          <w:color w:val="000000" w:themeColor="text1"/>
        </w:rPr>
        <w:t xml:space="preserve"> </w:t>
      </w:r>
      <w:r w:rsidR="00067A9B" w:rsidRPr="004B5ED3">
        <w:rPr>
          <w:color w:val="000000" w:themeColor="text1"/>
        </w:rPr>
        <w:t xml:space="preserve">Vaccination and </w:t>
      </w:r>
      <w:r w:rsidR="00067A9B">
        <w:rPr>
          <w:color w:val="000000" w:themeColor="text1"/>
        </w:rPr>
        <w:t>a</w:t>
      </w:r>
      <w:r w:rsidR="00067A9B" w:rsidRPr="004B5ED3">
        <w:rPr>
          <w:color w:val="000000" w:themeColor="text1"/>
        </w:rPr>
        <w:t xml:space="preserve">ssociated </w:t>
      </w:r>
      <w:r w:rsidR="00067A9B">
        <w:rPr>
          <w:color w:val="000000" w:themeColor="text1"/>
        </w:rPr>
        <w:t>a</w:t>
      </w:r>
      <w:r w:rsidR="00067A9B" w:rsidRPr="004B5ED3">
        <w:rPr>
          <w:color w:val="000000" w:themeColor="text1"/>
        </w:rPr>
        <w:t xml:space="preserve">dverse Events in </w:t>
      </w:r>
      <w:r w:rsidR="00067A9B">
        <w:rPr>
          <w:color w:val="000000" w:themeColor="text1"/>
        </w:rPr>
        <w:t>d</w:t>
      </w:r>
      <w:r w:rsidR="00067A9B" w:rsidRPr="004B5ED3">
        <w:rPr>
          <w:color w:val="000000" w:themeColor="text1"/>
        </w:rPr>
        <w:t xml:space="preserve">ogs </w:t>
      </w:r>
      <w:r w:rsidR="00067A9B">
        <w:rPr>
          <w:color w:val="000000" w:themeColor="text1"/>
        </w:rPr>
        <w:t>p</w:t>
      </w:r>
      <w:r w:rsidR="00067A9B" w:rsidRPr="004B5ED3">
        <w:rPr>
          <w:color w:val="000000" w:themeColor="text1"/>
        </w:rPr>
        <w:t xml:space="preserve">reviously </w:t>
      </w:r>
      <w:r w:rsidR="00067A9B">
        <w:rPr>
          <w:color w:val="000000" w:themeColor="text1"/>
        </w:rPr>
        <w:t>t</w:t>
      </w:r>
      <w:r w:rsidR="00067A9B" w:rsidRPr="004B5ED3">
        <w:rPr>
          <w:color w:val="000000" w:themeColor="text1"/>
        </w:rPr>
        <w:t xml:space="preserve">reated for </w:t>
      </w:r>
      <w:r w:rsidR="00067A9B">
        <w:rPr>
          <w:color w:val="000000" w:themeColor="text1"/>
        </w:rPr>
        <w:t>p</w:t>
      </w:r>
      <w:r w:rsidR="00067A9B" w:rsidRPr="004B5ED3">
        <w:rPr>
          <w:color w:val="000000" w:themeColor="text1"/>
        </w:rPr>
        <w:t xml:space="preserve">rimary </w:t>
      </w:r>
      <w:r w:rsidR="00067A9B">
        <w:rPr>
          <w:color w:val="000000" w:themeColor="text1"/>
        </w:rPr>
        <w:t>i</w:t>
      </w:r>
      <w:r w:rsidR="00067A9B" w:rsidRPr="004B5ED3">
        <w:rPr>
          <w:color w:val="000000" w:themeColor="text1"/>
        </w:rPr>
        <w:t>mmune-</w:t>
      </w:r>
      <w:r w:rsidR="00067A9B">
        <w:rPr>
          <w:color w:val="000000" w:themeColor="text1"/>
        </w:rPr>
        <w:t>m</w:t>
      </w:r>
      <w:r w:rsidR="00067A9B" w:rsidRPr="004B5ED3">
        <w:rPr>
          <w:color w:val="000000" w:themeColor="text1"/>
        </w:rPr>
        <w:t xml:space="preserve">ediated </w:t>
      </w:r>
      <w:r w:rsidR="00067A9B">
        <w:rPr>
          <w:color w:val="000000" w:themeColor="text1"/>
        </w:rPr>
        <w:t>h</w:t>
      </w:r>
      <w:r w:rsidR="00067A9B" w:rsidRPr="004B5ED3">
        <w:rPr>
          <w:color w:val="000000" w:themeColor="text1"/>
        </w:rPr>
        <w:t xml:space="preserve">emolytic </w:t>
      </w:r>
      <w:proofErr w:type="spellStart"/>
      <w:r w:rsidR="00067A9B">
        <w:rPr>
          <w:color w:val="000000" w:themeColor="text1"/>
        </w:rPr>
        <w:t>a</w:t>
      </w:r>
      <w:r w:rsidR="00067A9B" w:rsidRPr="004B5ED3">
        <w:rPr>
          <w:color w:val="000000" w:themeColor="text1"/>
        </w:rPr>
        <w:t>nemia</w:t>
      </w:r>
      <w:r w:rsidR="00067A9B">
        <w:rPr>
          <w:color w:val="000000" w:themeColor="text1"/>
        </w:rPr>
        <w:t>.</w:t>
      </w:r>
      <w:r w:rsidR="00067A9B" w:rsidRPr="00845D34">
        <w:rPr>
          <w:i/>
          <w:iCs/>
          <w:color w:val="000000" w:themeColor="text1"/>
        </w:rPr>
        <w:t>J</w:t>
      </w:r>
      <w:proofErr w:type="spellEnd"/>
      <w:r w:rsidR="00067A9B" w:rsidRPr="00845D34">
        <w:rPr>
          <w:i/>
          <w:iCs/>
          <w:color w:val="000000" w:themeColor="text1"/>
        </w:rPr>
        <w:t xml:space="preserve"> Am </w:t>
      </w:r>
      <w:proofErr w:type="spellStart"/>
      <w:r w:rsidR="00067A9B" w:rsidRPr="00845D34">
        <w:rPr>
          <w:i/>
          <w:iCs/>
          <w:color w:val="000000" w:themeColor="text1"/>
        </w:rPr>
        <w:t>Anim</w:t>
      </w:r>
      <w:proofErr w:type="spellEnd"/>
      <w:r w:rsidR="00067A9B" w:rsidRPr="00845D34">
        <w:rPr>
          <w:i/>
          <w:iCs/>
          <w:color w:val="000000" w:themeColor="text1"/>
        </w:rPr>
        <w:t xml:space="preserve"> Hosp Assoc</w:t>
      </w:r>
      <w:r w:rsidR="00067A9B" w:rsidRPr="004B5ED3">
        <w:rPr>
          <w:color w:val="000000" w:themeColor="text1"/>
        </w:rPr>
        <w:t xml:space="preserve"> 2019;55(1):29-3</w:t>
      </w:r>
      <w:r w:rsidR="00067A9B">
        <w:rPr>
          <w:color w:val="000000" w:themeColor="text1"/>
        </w:rPr>
        <w:t>4</w:t>
      </w:r>
    </w:p>
    <w:p w14:paraId="2F2BB319" w14:textId="2D8DE876" w:rsidR="00067A9B" w:rsidRPr="006170E8" w:rsidRDefault="00067A9B" w:rsidP="00067A9B">
      <w:pPr>
        <w:rPr>
          <w:color w:val="000000" w:themeColor="text1"/>
          <w:lang w:val="de-DE"/>
        </w:rPr>
      </w:pPr>
      <w:r>
        <w:rPr>
          <w:color w:val="000000" w:themeColor="text1"/>
        </w:rPr>
        <w:t>2</w:t>
      </w:r>
      <w:r w:rsidR="0061395C">
        <w:rPr>
          <w:color w:val="000000" w:themeColor="text1"/>
        </w:rPr>
        <w:t>4</w:t>
      </w:r>
      <w:r>
        <w:rPr>
          <w:color w:val="000000" w:themeColor="text1"/>
        </w:rPr>
        <w:t>.</w:t>
      </w:r>
      <w:r w:rsidRPr="00257063">
        <w:rPr>
          <w:color w:val="000000" w:themeColor="text1"/>
        </w:rPr>
        <w:t xml:space="preserve">Carr AP, </w:t>
      </w:r>
      <w:proofErr w:type="spellStart"/>
      <w:r w:rsidRPr="00257063">
        <w:rPr>
          <w:color w:val="000000" w:themeColor="text1"/>
        </w:rPr>
        <w:t>Panciera</w:t>
      </w:r>
      <w:proofErr w:type="spellEnd"/>
      <w:r w:rsidRPr="00257063">
        <w:rPr>
          <w:color w:val="000000" w:themeColor="text1"/>
        </w:rPr>
        <w:t xml:space="preserve"> DL, Kidd </w:t>
      </w:r>
      <w:proofErr w:type="spellStart"/>
      <w:proofErr w:type="gramStart"/>
      <w:r w:rsidRPr="00257063">
        <w:rPr>
          <w:color w:val="000000" w:themeColor="text1"/>
        </w:rPr>
        <w:t>L.Prognostic</w:t>
      </w:r>
      <w:proofErr w:type="spellEnd"/>
      <w:proofErr w:type="gramEnd"/>
      <w:r w:rsidRPr="00257063">
        <w:rPr>
          <w:color w:val="000000" w:themeColor="text1"/>
        </w:rPr>
        <w:t xml:space="preserve"> factors for mortality and thromboembolism in canine immune-mediated hemolytic anemia: a retrospective study of 72 dogs. </w:t>
      </w:r>
      <w:r w:rsidRPr="006170E8">
        <w:rPr>
          <w:i/>
          <w:iCs/>
          <w:color w:val="000000" w:themeColor="text1"/>
          <w:lang w:val="de-DE"/>
        </w:rPr>
        <w:t xml:space="preserve">J </w:t>
      </w:r>
      <w:proofErr w:type="spellStart"/>
      <w:r w:rsidRPr="006170E8">
        <w:rPr>
          <w:i/>
          <w:iCs/>
          <w:color w:val="000000" w:themeColor="text1"/>
          <w:lang w:val="de-DE"/>
        </w:rPr>
        <w:t>Vet</w:t>
      </w:r>
      <w:proofErr w:type="spellEnd"/>
      <w:r w:rsidRPr="006170E8">
        <w:rPr>
          <w:i/>
          <w:iCs/>
          <w:color w:val="000000" w:themeColor="text1"/>
          <w:lang w:val="de-DE"/>
        </w:rPr>
        <w:t xml:space="preserve"> Intern </w:t>
      </w:r>
      <w:proofErr w:type="spellStart"/>
      <w:r w:rsidRPr="006170E8">
        <w:rPr>
          <w:i/>
          <w:iCs/>
          <w:color w:val="000000" w:themeColor="text1"/>
          <w:lang w:val="de-DE"/>
        </w:rPr>
        <w:t>Med</w:t>
      </w:r>
      <w:proofErr w:type="spellEnd"/>
      <w:r w:rsidRPr="006170E8">
        <w:rPr>
          <w:color w:val="000000" w:themeColor="text1"/>
          <w:lang w:val="de-DE"/>
        </w:rPr>
        <w:t xml:space="preserve"> </w:t>
      </w:r>
      <w:proofErr w:type="gramStart"/>
      <w:r w:rsidRPr="006170E8">
        <w:rPr>
          <w:color w:val="000000" w:themeColor="text1"/>
          <w:lang w:val="de-DE"/>
        </w:rPr>
        <w:t>2002;16:504</w:t>
      </w:r>
      <w:proofErr w:type="gramEnd"/>
      <w:r w:rsidRPr="006170E8">
        <w:rPr>
          <w:color w:val="000000" w:themeColor="text1"/>
          <w:lang w:val="de-DE"/>
        </w:rPr>
        <w:t xml:space="preserve">-509. </w:t>
      </w:r>
    </w:p>
    <w:p w14:paraId="3A8296A1" w14:textId="381BD221" w:rsidR="00067A9B" w:rsidRPr="00A041FC" w:rsidRDefault="00067A9B" w:rsidP="00067A9B">
      <w:pPr>
        <w:rPr>
          <w:color w:val="000000" w:themeColor="text1"/>
          <w:lang w:val="it-IT"/>
        </w:rPr>
      </w:pPr>
      <w:r w:rsidRPr="006170E8">
        <w:rPr>
          <w:color w:val="000000" w:themeColor="text1"/>
          <w:lang w:val="de-DE"/>
        </w:rPr>
        <w:t>2</w:t>
      </w:r>
      <w:r w:rsidR="0061395C">
        <w:rPr>
          <w:color w:val="000000" w:themeColor="text1"/>
          <w:lang w:val="de-DE"/>
        </w:rPr>
        <w:t>5</w:t>
      </w:r>
      <w:r w:rsidRPr="006170E8">
        <w:rPr>
          <w:color w:val="000000" w:themeColor="text1"/>
          <w:lang w:val="de-DE"/>
        </w:rPr>
        <w:t xml:space="preserve">.Schonberger LB, </w:t>
      </w:r>
      <w:proofErr w:type="spellStart"/>
      <w:r w:rsidRPr="006170E8">
        <w:rPr>
          <w:color w:val="000000" w:themeColor="text1"/>
          <w:lang w:val="de-DE"/>
        </w:rPr>
        <w:t>Bregman</w:t>
      </w:r>
      <w:proofErr w:type="spellEnd"/>
      <w:r w:rsidRPr="006170E8">
        <w:rPr>
          <w:color w:val="000000" w:themeColor="text1"/>
          <w:lang w:val="de-DE"/>
        </w:rPr>
        <w:t xml:space="preserve"> DJ, Sullivan-</w:t>
      </w:r>
      <w:proofErr w:type="spellStart"/>
      <w:r w:rsidRPr="006170E8">
        <w:rPr>
          <w:color w:val="000000" w:themeColor="text1"/>
          <w:lang w:val="de-DE"/>
        </w:rPr>
        <w:t>Bolyai</w:t>
      </w:r>
      <w:proofErr w:type="spellEnd"/>
      <w:r w:rsidRPr="006170E8">
        <w:rPr>
          <w:color w:val="000000" w:themeColor="text1"/>
          <w:lang w:val="de-DE"/>
        </w:rPr>
        <w:t xml:space="preserve"> JZ, et al. </w:t>
      </w:r>
      <w:r w:rsidRPr="00A343AF">
        <w:rPr>
          <w:color w:val="000000" w:themeColor="text1"/>
        </w:rPr>
        <w:t>Guillain</w:t>
      </w:r>
      <w:r>
        <w:rPr>
          <w:color w:val="000000" w:themeColor="text1"/>
        </w:rPr>
        <w:t xml:space="preserve"> </w:t>
      </w:r>
      <w:r w:rsidRPr="00A343AF">
        <w:rPr>
          <w:color w:val="000000" w:themeColor="text1"/>
        </w:rPr>
        <w:t xml:space="preserve">Barre syndrome following vaccination in the </w:t>
      </w:r>
      <w:r>
        <w:rPr>
          <w:color w:val="000000" w:themeColor="text1"/>
        </w:rPr>
        <w:t>n</w:t>
      </w:r>
      <w:r w:rsidRPr="00A343AF">
        <w:rPr>
          <w:color w:val="000000" w:themeColor="text1"/>
        </w:rPr>
        <w:t xml:space="preserve">ational </w:t>
      </w:r>
      <w:r>
        <w:rPr>
          <w:color w:val="000000" w:themeColor="text1"/>
        </w:rPr>
        <w:t>i</w:t>
      </w:r>
      <w:r w:rsidRPr="00A343AF">
        <w:rPr>
          <w:color w:val="000000" w:themeColor="text1"/>
        </w:rPr>
        <w:t xml:space="preserve">nfluenza </w:t>
      </w:r>
      <w:r>
        <w:rPr>
          <w:color w:val="000000" w:themeColor="text1"/>
        </w:rPr>
        <w:t>i</w:t>
      </w:r>
      <w:r w:rsidRPr="00A343AF">
        <w:rPr>
          <w:color w:val="000000" w:themeColor="text1"/>
        </w:rPr>
        <w:t xml:space="preserve">mmunization </w:t>
      </w:r>
      <w:r>
        <w:rPr>
          <w:color w:val="000000" w:themeColor="text1"/>
        </w:rPr>
        <w:t>p</w:t>
      </w:r>
      <w:r w:rsidRPr="00A343AF">
        <w:rPr>
          <w:color w:val="000000" w:themeColor="text1"/>
        </w:rPr>
        <w:t xml:space="preserve">rogram, United States, 1976–1977. </w:t>
      </w:r>
      <w:proofErr w:type="spellStart"/>
      <w:r w:rsidRPr="00A041FC">
        <w:rPr>
          <w:i/>
          <w:iCs/>
          <w:color w:val="000000" w:themeColor="text1"/>
          <w:lang w:val="it-IT"/>
        </w:rPr>
        <w:t>Am</w:t>
      </w:r>
      <w:proofErr w:type="spellEnd"/>
      <w:r w:rsidRPr="00A041FC">
        <w:rPr>
          <w:i/>
          <w:iCs/>
          <w:color w:val="000000" w:themeColor="text1"/>
          <w:lang w:val="it-IT"/>
        </w:rPr>
        <w:t xml:space="preserve"> J </w:t>
      </w:r>
      <w:proofErr w:type="spellStart"/>
      <w:r w:rsidRPr="00A041FC">
        <w:rPr>
          <w:i/>
          <w:iCs/>
          <w:color w:val="000000" w:themeColor="text1"/>
          <w:lang w:val="it-IT"/>
        </w:rPr>
        <w:t>Epidemiol</w:t>
      </w:r>
      <w:proofErr w:type="spellEnd"/>
      <w:r w:rsidRPr="00A041FC">
        <w:rPr>
          <w:color w:val="000000" w:themeColor="text1"/>
          <w:lang w:val="it-IT"/>
        </w:rPr>
        <w:t xml:space="preserve"> 1979; 110: 105–23.</w:t>
      </w:r>
    </w:p>
    <w:p w14:paraId="3ED98271" w14:textId="1E591EF9" w:rsidR="00067A9B" w:rsidRPr="00A343AF" w:rsidRDefault="00067A9B" w:rsidP="00067A9B">
      <w:pPr>
        <w:rPr>
          <w:color w:val="000000" w:themeColor="text1"/>
        </w:rPr>
      </w:pPr>
      <w:r w:rsidRPr="00A041FC">
        <w:rPr>
          <w:color w:val="000000" w:themeColor="text1"/>
          <w:lang w:val="it-IT"/>
        </w:rPr>
        <w:t>2</w:t>
      </w:r>
      <w:r w:rsidR="0061395C">
        <w:rPr>
          <w:color w:val="000000" w:themeColor="text1"/>
          <w:lang w:val="it-IT"/>
        </w:rPr>
        <w:t>6</w:t>
      </w:r>
      <w:r w:rsidRPr="00A041FC">
        <w:rPr>
          <w:color w:val="000000" w:themeColor="text1"/>
          <w:lang w:val="it-IT"/>
        </w:rPr>
        <w:t xml:space="preserve">.Lasky T, </w:t>
      </w:r>
      <w:proofErr w:type="spellStart"/>
      <w:r w:rsidRPr="00A041FC">
        <w:rPr>
          <w:color w:val="000000" w:themeColor="text1"/>
          <w:lang w:val="it-IT"/>
        </w:rPr>
        <w:t>Terracciano</w:t>
      </w:r>
      <w:proofErr w:type="spellEnd"/>
      <w:r w:rsidRPr="00A041FC">
        <w:rPr>
          <w:color w:val="000000" w:themeColor="text1"/>
          <w:lang w:val="it-IT"/>
        </w:rPr>
        <w:t xml:space="preserve"> GJ, </w:t>
      </w:r>
      <w:proofErr w:type="spellStart"/>
      <w:r w:rsidRPr="00A041FC">
        <w:rPr>
          <w:color w:val="000000" w:themeColor="text1"/>
          <w:lang w:val="it-IT"/>
        </w:rPr>
        <w:t>Magder</w:t>
      </w:r>
      <w:proofErr w:type="spellEnd"/>
      <w:r w:rsidRPr="00A041FC">
        <w:rPr>
          <w:color w:val="000000" w:themeColor="text1"/>
          <w:lang w:val="it-IT"/>
        </w:rPr>
        <w:t xml:space="preserve"> L, et al. </w:t>
      </w:r>
      <w:r w:rsidRPr="00A343AF">
        <w:rPr>
          <w:color w:val="000000" w:themeColor="text1"/>
        </w:rPr>
        <w:t>The Guillain-Barre syndrome and the 1992-1993 and 1993-1994 influenza vaccines.</w:t>
      </w:r>
      <w:r w:rsidRPr="00845D34">
        <w:rPr>
          <w:i/>
          <w:iCs/>
          <w:color w:val="000000" w:themeColor="text1"/>
        </w:rPr>
        <w:t xml:space="preserve"> N </w:t>
      </w:r>
      <w:proofErr w:type="spellStart"/>
      <w:r w:rsidRPr="00845D34">
        <w:rPr>
          <w:i/>
          <w:iCs/>
          <w:color w:val="000000" w:themeColor="text1"/>
        </w:rPr>
        <w:t>Engl</w:t>
      </w:r>
      <w:proofErr w:type="spellEnd"/>
      <w:r w:rsidRPr="00845D34">
        <w:rPr>
          <w:i/>
          <w:iCs/>
          <w:color w:val="000000" w:themeColor="text1"/>
        </w:rPr>
        <w:t xml:space="preserve"> J Med </w:t>
      </w:r>
      <w:r w:rsidRPr="00A343AF">
        <w:rPr>
          <w:color w:val="000000" w:themeColor="text1"/>
        </w:rPr>
        <w:t>1998; 339: 1797–802.</w:t>
      </w:r>
    </w:p>
    <w:p w14:paraId="396E0EBB" w14:textId="5C05E7E9" w:rsidR="00067A9B" w:rsidRPr="00A343AF" w:rsidRDefault="00067A9B" w:rsidP="00067A9B">
      <w:pPr>
        <w:rPr>
          <w:color w:val="000000" w:themeColor="text1"/>
        </w:rPr>
      </w:pPr>
      <w:r w:rsidRPr="00A343AF">
        <w:rPr>
          <w:color w:val="000000" w:themeColor="text1"/>
        </w:rPr>
        <w:t>2</w:t>
      </w:r>
      <w:r w:rsidR="0061395C">
        <w:rPr>
          <w:color w:val="000000" w:themeColor="text1"/>
        </w:rPr>
        <w:t>7</w:t>
      </w:r>
      <w:r w:rsidRPr="00A343AF">
        <w:rPr>
          <w:color w:val="000000" w:themeColor="text1"/>
        </w:rPr>
        <w:t xml:space="preserve">.Chen RT, </w:t>
      </w:r>
      <w:proofErr w:type="spellStart"/>
      <w:r w:rsidRPr="00A343AF">
        <w:rPr>
          <w:color w:val="000000" w:themeColor="text1"/>
        </w:rPr>
        <w:t>Pless</w:t>
      </w:r>
      <w:proofErr w:type="spellEnd"/>
      <w:r w:rsidRPr="00A343AF">
        <w:rPr>
          <w:color w:val="000000" w:themeColor="text1"/>
        </w:rPr>
        <w:t xml:space="preserve"> R, </w:t>
      </w:r>
      <w:proofErr w:type="spellStart"/>
      <w:r w:rsidRPr="00A343AF">
        <w:rPr>
          <w:color w:val="000000" w:themeColor="text1"/>
        </w:rPr>
        <w:t>Destefano</w:t>
      </w:r>
      <w:proofErr w:type="spellEnd"/>
      <w:r w:rsidRPr="00A343AF">
        <w:rPr>
          <w:color w:val="000000" w:themeColor="text1"/>
        </w:rPr>
        <w:t xml:space="preserve"> F. Epidemiology of autoimmune reactions induced by vaccination</w:t>
      </w:r>
      <w:r w:rsidRPr="00845D34">
        <w:rPr>
          <w:i/>
          <w:iCs/>
          <w:color w:val="000000" w:themeColor="text1"/>
        </w:rPr>
        <w:t xml:space="preserve">. J </w:t>
      </w:r>
      <w:proofErr w:type="spellStart"/>
      <w:r w:rsidRPr="00845D34">
        <w:rPr>
          <w:i/>
          <w:iCs/>
          <w:color w:val="000000" w:themeColor="text1"/>
        </w:rPr>
        <w:t>Autoimmun</w:t>
      </w:r>
      <w:proofErr w:type="spellEnd"/>
      <w:r w:rsidRPr="00A343AF">
        <w:rPr>
          <w:color w:val="000000" w:themeColor="text1"/>
        </w:rPr>
        <w:t xml:space="preserve"> 2001; 16: 309–18. </w:t>
      </w:r>
    </w:p>
    <w:p w14:paraId="4E37E211" w14:textId="699EAAFC" w:rsidR="00067A9B" w:rsidRPr="00A343AF" w:rsidRDefault="00067A9B" w:rsidP="00067A9B">
      <w:pPr>
        <w:rPr>
          <w:color w:val="000000" w:themeColor="text1"/>
        </w:rPr>
      </w:pPr>
      <w:r w:rsidRPr="00A343AF">
        <w:rPr>
          <w:color w:val="000000" w:themeColor="text1"/>
        </w:rPr>
        <w:t>2</w:t>
      </w:r>
      <w:r w:rsidR="0061395C">
        <w:rPr>
          <w:color w:val="000000" w:themeColor="text1"/>
        </w:rPr>
        <w:t>8</w:t>
      </w:r>
      <w:r w:rsidRPr="00A343AF">
        <w:rPr>
          <w:color w:val="000000" w:themeColor="text1"/>
        </w:rPr>
        <w:t xml:space="preserve">.Miller E, </w:t>
      </w:r>
      <w:proofErr w:type="spellStart"/>
      <w:r w:rsidRPr="00A343AF">
        <w:rPr>
          <w:color w:val="000000" w:themeColor="text1"/>
        </w:rPr>
        <w:t>Waight</w:t>
      </w:r>
      <w:proofErr w:type="spellEnd"/>
      <w:r w:rsidRPr="00A343AF">
        <w:rPr>
          <w:color w:val="000000" w:themeColor="text1"/>
        </w:rPr>
        <w:t xml:space="preserve"> P, Farrington CP, et al. Idiopathic thrombocytopenic purpura and MMR vaccine. </w:t>
      </w:r>
      <w:r w:rsidRPr="00845D34">
        <w:rPr>
          <w:i/>
          <w:iCs/>
          <w:color w:val="000000" w:themeColor="text1"/>
        </w:rPr>
        <w:t>Arch Dis Child</w:t>
      </w:r>
      <w:r w:rsidRPr="00A343AF">
        <w:rPr>
          <w:color w:val="000000" w:themeColor="text1"/>
        </w:rPr>
        <w:t xml:space="preserve"> 2001; 84: 227–29. </w:t>
      </w:r>
    </w:p>
    <w:p w14:paraId="50E8809D" w14:textId="0712817B" w:rsidR="00067A9B" w:rsidRPr="00A343AF" w:rsidRDefault="00067A9B" w:rsidP="00067A9B">
      <w:pPr>
        <w:rPr>
          <w:color w:val="000000" w:themeColor="text1"/>
        </w:rPr>
      </w:pPr>
      <w:r w:rsidRPr="00A343AF">
        <w:rPr>
          <w:color w:val="000000" w:themeColor="text1"/>
        </w:rPr>
        <w:lastRenderedPageBreak/>
        <w:t>2</w:t>
      </w:r>
      <w:r w:rsidR="0061395C">
        <w:rPr>
          <w:color w:val="000000" w:themeColor="text1"/>
        </w:rPr>
        <w:t>9</w:t>
      </w:r>
      <w:r w:rsidRPr="00A343AF">
        <w:rPr>
          <w:color w:val="000000" w:themeColor="text1"/>
        </w:rPr>
        <w:t xml:space="preserve">.Vlacha V, Forman EN, </w:t>
      </w:r>
      <w:proofErr w:type="spellStart"/>
      <w:r w:rsidRPr="00A343AF">
        <w:rPr>
          <w:color w:val="000000" w:themeColor="text1"/>
        </w:rPr>
        <w:t>Miron</w:t>
      </w:r>
      <w:proofErr w:type="spellEnd"/>
      <w:r w:rsidRPr="00A343AF">
        <w:rPr>
          <w:color w:val="000000" w:themeColor="text1"/>
        </w:rPr>
        <w:t xml:space="preserve"> D, Peter G. Recurrent thrombocytopenic purpura after repeated measles-mumps-rubella vaccination. </w:t>
      </w:r>
      <w:r w:rsidRPr="00845D34">
        <w:rPr>
          <w:i/>
          <w:iCs/>
          <w:color w:val="000000" w:themeColor="text1"/>
        </w:rPr>
        <w:t>Pediatrics</w:t>
      </w:r>
      <w:r w:rsidRPr="00A343AF">
        <w:rPr>
          <w:color w:val="000000" w:themeColor="text1"/>
        </w:rPr>
        <w:t xml:space="preserve"> 1996; 97</w:t>
      </w:r>
      <w:r>
        <w:rPr>
          <w:color w:val="000000" w:themeColor="text1"/>
        </w:rPr>
        <w:t>(5):</w:t>
      </w:r>
      <w:r w:rsidRPr="00A343AF">
        <w:rPr>
          <w:color w:val="000000" w:themeColor="text1"/>
        </w:rPr>
        <w:t xml:space="preserve">738–39 </w:t>
      </w:r>
    </w:p>
    <w:p w14:paraId="029AEA18" w14:textId="0CB0BCDC" w:rsidR="00067A9B" w:rsidRPr="00A343AF" w:rsidRDefault="0061395C" w:rsidP="00067A9B">
      <w:pPr>
        <w:rPr>
          <w:color w:val="000000" w:themeColor="text1"/>
        </w:rPr>
      </w:pPr>
      <w:r>
        <w:rPr>
          <w:color w:val="000000" w:themeColor="text1"/>
        </w:rPr>
        <w:t>30</w:t>
      </w:r>
      <w:r w:rsidR="00A041FC">
        <w:rPr>
          <w:color w:val="000000" w:themeColor="text1"/>
        </w:rPr>
        <w:t>.</w:t>
      </w:r>
      <w:r w:rsidR="00067A9B" w:rsidRPr="00A343AF">
        <w:rPr>
          <w:color w:val="000000" w:themeColor="text1"/>
        </w:rPr>
        <w:t xml:space="preserve">Oski FA, </w:t>
      </w:r>
      <w:proofErr w:type="spellStart"/>
      <w:r w:rsidR="00067A9B" w:rsidRPr="00A343AF">
        <w:rPr>
          <w:color w:val="000000" w:themeColor="text1"/>
        </w:rPr>
        <w:t>Naiman</w:t>
      </w:r>
      <w:proofErr w:type="spellEnd"/>
      <w:r w:rsidR="00067A9B" w:rsidRPr="00A343AF">
        <w:rPr>
          <w:color w:val="000000" w:themeColor="text1"/>
        </w:rPr>
        <w:t xml:space="preserve"> JL. Effect of live measles vaccine on the platelet count. </w:t>
      </w:r>
      <w:r w:rsidR="00067A9B" w:rsidRPr="00845D34">
        <w:rPr>
          <w:i/>
          <w:iCs/>
          <w:color w:val="000000" w:themeColor="text1"/>
        </w:rPr>
        <w:t xml:space="preserve">N </w:t>
      </w:r>
      <w:proofErr w:type="spellStart"/>
      <w:r w:rsidR="00067A9B" w:rsidRPr="00845D34">
        <w:rPr>
          <w:i/>
          <w:iCs/>
          <w:color w:val="000000" w:themeColor="text1"/>
        </w:rPr>
        <w:t>Engl</w:t>
      </w:r>
      <w:proofErr w:type="spellEnd"/>
      <w:r w:rsidR="00067A9B" w:rsidRPr="00845D34">
        <w:rPr>
          <w:i/>
          <w:iCs/>
          <w:color w:val="000000" w:themeColor="text1"/>
        </w:rPr>
        <w:t xml:space="preserve"> J Med</w:t>
      </w:r>
      <w:r w:rsidR="00067A9B" w:rsidRPr="00A343AF">
        <w:rPr>
          <w:color w:val="000000" w:themeColor="text1"/>
        </w:rPr>
        <w:t xml:space="preserve"> 1966; 275: 352–56 </w:t>
      </w:r>
    </w:p>
    <w:p w14:paraId="0C135325" w14:textId="7873CC69" w:rsidR="00067A9B" w:rsidRPr="00A343AF" w:rsidRDefault="00FB66DC" w:rsidP="00067A9B">
      <w:pPr>
        <w:rPr>
          <w:color w:val="000000" w:themeColor="text1"/>
        </w:rPr>
      </w:pPr>
      <w:r>
        <w:rPr>
          <w:color w:val="000000" w:themeColor="text1"/>
        </w:rPr>
        <w:t>3</w:t>
      </w:r>
      <w:r w:rsidR="0061395C">
        <w:rPr>
          <w:color w:val="000000" w:themeColor="text1"/>
        </w:rPr>
        <w:t>1</w:t>
      </w:r>
      <w:r w:rsidR="00067A9B" w:rsidRPr="00A343AF">
        <w:rPr>
          <w:color w:val="000000" w:themeColor="text1"/>
        </w:rPr>
        <w:t xml:space="preserve">.Jonville-Bera AP, </w:t>
      </w:r>
      <w:proofErr w:type="spellStart"/>
      <w:r w:rsidR="00067A9B" w:rsidRPr="00A343AF">
        <w:rPr>
          <w:color w:val="000000" w:themeColor="text1"/>
        </w:rPr>
        <w:t>Autret</w:t>
      </w:r>
      <w:proofErr w:type="spellEnd"/>
      <w:r w:rsidR="00067A9B" w:rsidRPr="00A343AF">
        <w:rPr>
          <w:color w:val="000000" w:themeColor="text1"/>
        </w:rPr>
        <w:t xml:space="preserve"> E, </w:t>
      </w:r>
      <w:proofErr w:type="spellStart"/>
      <w:r w:rsidR="00067A9B" w:rsidRPr="00A343AF">
        <w:rPr>
          <w:color w:val="000000" w:themeColor="text1"/>
        </w:rPr>
        <w:t>Galy-Eyraud</w:t>
      </w:r>
      <w:proofErr w:type="spellEnd"/>
      <w:r w:rsidR="00067A9B" w:rsidRPr="00A343AF">
        <w:rPr>
          <w:color w:val="000000" w:themeColor="text1"/>
        </w:rPr>
        <w:t xml:space="preserve"> C et al. Thrombocytopenic purpura after measles, mumps and rubella vaccination: a retrospective survey by the French regional pharmacovigilance </w:t>
      </w:r>
      <w:proofErr w:type="spellStart"/>
      <w:r w:rsidR="00067A9B" w:rsidRPr="00A343AF">
        <w:rPr>
          <w:color w:val="000000" w:themeColor="text1"/>
        </w:rPr>
        <w:t>centres</w:t>
      </w:r>
      <w:proofErr w:type="spellEnd"/>
      <w:r w:rsidR="00067A9B" w:rsidRPr="00A343AF">
        <w:rPr>
          <w:color w:val="000000" w:themeColor="text1"/>
        </w:rPr>
        <w:t xml:space="preserve"> and </w:t>
      </w:r>
      <w:proofErr w:type="spellStart"/>
      <w:r w:rsidR="00067A9B" w:rsidRPr="00A343AF">
        <w:rPr>
          <w:color w:val="000000" w:themeColor="text1"/>
        </w:rPr>
        <w:t>pasteur-merieux</w:t>
      </w:r>
      <w:proofErr w:type="spellEnd"/>
      <w:r w:rsidR="00067A9B" w:rsidRPr="00A343AF">
        <w:rPr>
          <w:color w:val="000000" w:themeColor="text1"/>
        </w:rPr>
        <w:t xml:space="preserve"> serums et </w:t>
      </w:r>
      <w:proofErr w:type="spellStart"/>
      <w:r w:rsidR="00067A9B" w:rsidRPr="00A343AF">
        <w:rPr>
          <w:color w:val="000000" w:themeColor="text1"/>
        </w:rPr>
        <w:t>vaccins</w:t>
      </w:r>
      <w:proofErr w:type="spellEnd"/>
      <w:r w:rsidR="00067A9B" w:rsidRPr="00A343AF">
        <w:rPr>
          <w:color w:val="000000" w:themeColor="text1"/>
        </w:rPr>
        <w:t xml:space="preserve">. </w:t>
      </w:r>
      <w:proofErr w:type="spellStart"/>
      <w:r w:rsidR="00067A9B" w:rsidRPr="00845D34">
        <w:rPr>
          <w:i/>
          <w:iCs/>
          <w:color w:val="000000" w:themeColor="text1"/>
        </w:rPr>
        <w:t>Pediatr</w:t>
      </w:r>
      <w:proofErr w:type="spellEnd"/>
      <w:r w:rsidR="00067A9B" w:rsidRPr="00845D34">
        <w:rPr>
          <w:i/>
          <w:iCs/>
          <w:color w:val="000000" w:themeColor="text1"/>
        </w:rPr>
        <w:t xml:space="preserve"> Infect Dis J</w:t>
      </w:r>
      <w:r w:rsidR="00067A9B" w:rsidRPr="00A343AF">
        <w:rPr>
          <w:color w:val="000000" w:themeColor="text1"/>
        </w:rPr>
        <w:t xml:space="preserve"> 1996; 15: 44–48. </w:t>
      </w:r>
    </w:p>
    <w:p w14:paraId="5C695D4D" w14:textId="7E750F01" w:rsidR="00067A9B" w:rsidRPr="00A343AF" w:rsidRDefault="00FB66DC" w:rsidP="00067A9B">
      <w:pPr>
        <w:rPr>
          <w:color w:val="000000" w:themeColor="text1"/>
        </w:rPr>
      </w:pPr>
      <w:r>
        <w:rPr>
          <w:color w:val="000000" w:themeColor="text1"/>
        </w:rPr>
        <w:t>3</w:t>
      </w:r>
      <w:r w:rsidR="0061395C">
        <w:rPr>
          <w:color w:val="000000" w:themeColor="text1"/>
        </w:rPr>
        <w:t>2</w:t>
      </w:r>
      <w:r w:rsidR="00067A9B" w:rsidRPr="00A343AF">
        <w:rPr>
          <w:color w:val="000000" w:themeColor="text1"/>
        </w:rPr>
        <w:t xml:space="preserve">.Beeler J, Varricchio F, Wise R. Thrombocytopenia after immunization with measles vaccines: review of the vaccine adverse events reporting system (1990 to 1994). </w:t>
      </w:r>
      <w:proofErr w:type="spellStart"/>
      <w:r w:rsidR="00067A9B" w:rsidRPr="00845D34">
        <w:rPr>
          <w:i/>
          <w:iCs/>
          <w:color w:val="000000" w:themeColor="text1"/>
        </w:rPr>
        <w:t>Pediatr</w:t>
      </w:r>
      <w:proofErr w:type="spellEnd"/>
      <w:r w:rsidR="00067A9B" w:rsidRPr="00845D34">
        <w:rPr>
          <w:i/>
          <w:iCs/>
          <w:color w:val="000000" w:themeColor="text1"/>
        </w:rPr>
        <w:t xml:space="preserve"> Infect Dis J</w:t>
      </w:r>
      <w:r w:rsidR="00067A9B">
        <w:rPr>
          <w:color w:val="000000" w:themeColor="text1"/>
        </w:rPr>
        <w:t xml:space="preserve"> </w:t>
      </w:r>
      <w:r w:rsidR="00067A9B" w:rsidRPr="00A343AF">
        <w:rPr>
          <w:color w:val="000000" w:themeColor="text1"/>
        </w:rPr>
        <w:t>1996;15(1):88-90.</w:t>
      </w:r>
    </w:p>
    <w:p w14:paraId="512D3FE9" w14:textId="6BCD9930" w:rsidR="00067A9B" w:rsidRPr="00A343AF" w:rsidRDefault="00A041FC" w:rsidP="00067A9B">
      <w:pPr>
        <w:rPr>
          <w:color w:val="000000" w:themeColor="text1"/>
        </w:rPr>
      </w:pPr>
      <w:r>
        <w:rPr>
          <w:color w:val="000000" w:themeColor="text1"/>
        </w:rPr>
        <w:t>3</w:t>
      </w:r>
      <w:r w:rsidR="0061395C">
        <w:rPr>
          <w:color w:val="000000" w:themeColor="text1"/>
        </w:rPr>
        <w:t>3</w:t>
      </w:r>
      <w:r w:rsidR="00067A9B" w:rsidRPr="00A343AF">
        <w:rPr>
          <w:color w:val="000000" w:themeColor="text1"/>
        </w:rPr>
        <w:t xml:space="preserve">.Gout O, Lyon-Caen O. Sclerotic plaques and vaccination against hepatitis B. </w:t>
      </w:r>
      <w:r w:rsidR="00067A9B" w:rsidRPr="00845D34">
        <w:rPr>
          <w:i/>
          <w:iCs/>
          <w:color w:val="000000" w:themeColor="text1"/>
        </w:rPr>
        <w:t>Rev Neurol</w:t>
      </w:r>
      <w:r w:rsidR="00067A9B">
        <w:rPr>
          <w:color w:val="000000" w:themeColor="text1"/>
        </w:rPr>
        <w:t xml:space="preserve"> </w:t>
      </w:r>
      <w:r w:rsidR="00067A9B" w:rsidRPr="00A343AF">
        <w:rPr>
          <w:color w:val="000000" w:themeColor="text1"/>
        </w:rPr>
        <w:t>1998; 154: 205–07</w:t>
      </w:r>
    </w:p>
    <w:p w14:paraId="4FF99C3E" w14:textId="497AC225" w:rsidR="00067A9B" w:rsidRPr="00A343AF" w:rsidRDefault="00067A9B" w:rsidP="00067A9B">
      <w:pPr>
        <w:rPr>
          <w:color w:val="000000" w:themeColor="text1"/>
        </w:rPr>
      </w:pPr>
      <w:r>
        <w:rPr>
          <w:color w:val="000000" w:themeColor="text1"/>
        </w:rPr>
        <w:t>3</w:t>
      </w:r>
      <w:r w:rsidR="0061395C">
        <w:rPr>
          <w:color w:val="000000" w:themeColor="text1"/>
        </w:rPr>
        <w:t>4</w:t>
      </w:r>
      <w:r w:rsidRPr="00A343AF">
        <w:rPr>
          <w:color w:val="000000" w:themeColor="text1"/>
        </w:rPr>
        <w:t xml:space="preserve">.Tourbah A, Gout O, </w:t>
      </w:r>
      <w:proofErr w:type="spellStart"/>
      <w:r w:rsidRPr="00A343AF">
        <w:rPr>
          <w:color w:val="000000" w:themeColor="text1"/>
        </w:rPr>
        <w:t>Liblau</w:t>
      </w:r>
      <w:proofErr w:type="spellEnd"/>
      <w:r w:rsidRPr="00A343AF">
        <w:rPr>
          <w:color w:val="000000" w:themeColor="text1"/>
        </w:rPr>
        <w:t xml:space="preserve"> R, et al. Encephalitis after hepatitis B vaccination: recurrent disseminated encephalitis or MS? </w:t>
      </w:r>
      <w:r w:rsidRPr="00845D34">
        <w:rPr>
          <w:i/>
          <w:iCs/>
          <w:color w:val="000000" w:themeColor="text1"/>
        </w:rPr>
        <w:t xml:space="preserve">Neurology </w:t>
      </w:r>
      <w:r w:rsidRPr="00A343AF">
        <w:rPr>
          <w:color w:val="000000" w:themeColor="text1"/>
        </w:rPr>
        <w:t>1999; 53: 396–401</w:t>
      </w:r>
    </w:p>
    <w:p w14:paraId="35EBE51E" w14:textId="0576DB17" w:rsidR="00067A9B" w:rsidRPr="00A343AF" w:rsidRDefault="00067A9B" w:rsidP="00067A9B">
      <w:pPr>
        <w:rPr>
          <w:color w:val="000000" w:themeColor="text1"/>
        </w:rPr>
      </w:pPr>
      <w:r>
        <w:rPr>
          <w:color w:val="000000" w:themeColor="text1"/>
        </w:rPr>
        <w:t>3</w:t>
      </w:r>
      <w:r w:rsidR="0061395C">
        <w:rPr>
          <w:color w:val="000000" w:themeColor="text1"/>
        </w:rPr>
        <w:t>5</w:t>
      </w:r>
      <w:r w:rsidRPr="00A343AF">
        <w:rPr>
          <w:color w:val="000000" w:themeColor="text1"/>
        </w:rPr>
        <w:t xml:space="preserve">.Confavreux C, </w:t>
      </w:r>
      <w:proofErr w:type="spellStart"/>
      <w:r w:rsidRPr="00A343AF">
        <w:rPr>
          <w:color w:val="000000" w:themeColor="text1"/>
        </w:rPr>
        <w:t>Suissa</w:t>
      </w:r>
      <w:proofErr w:type="spellEnd"/>
      <w:r w:rsidRPr="00A343AF">
        <w:rPr>
          <w:color w:val="000000" w:themeColor="text1"/>
        </w:rPr>
        <w:t xml:space="preserve"> S, </w:t>
      </w:r>
      <w:proofErr w:type="spellStart"/>
      <w:r w:rsidRPr="00A343AF">
        <w:rPr>
          <w:color w:val="000000" w:themeColor="text1"/>
        </w:rPr>
        <w:t>Saddier</w:t>
      </w:r>
      <w:proofErr w:type="spellEnd"/>
      <w:r w:rsidRPr="00A343AF">
        <w:rPr>
          <w:color w:val="000000" w:themeColor="text1"/>
        </w:rPr>
        <w:t xml:space="preserve"> P et al. Vaccinations and the risk of relapse in multiple sclerosis. Vaccines in Multiple Sclerosis Study Group</w:t>
      </w:r>
      <w:r w:rsidRPr="00845D34">
        <w:rPr>
          <w:i/>
          <w:iCs/>
          <w:color w:val="000000" w:themeColor="text1"/>
        </w:rPr>
        <w:t xml:space="preserve">. N </w:t>
      </w:r>
      <w:proofErr w:type="spellStart"/>
      <w:r w:rsidRPr="00845D34">
        <w:rPr>
          <w:i/>
          <w:iCs/>
          <w:color w:val="000000" w:themeColor="text1"/>
        </w:rPr>
        <w:t>Engl</w:t>
      </w:r>
      <w:proofErr w:type="spellEnd"/>
      <w:r w:rsidRPr="00845D34">
        <w:rPr>
          <w:i/>
          <w:iCs/>
          <w:color w:val="000000" w:themeColor="text1"/>
        </w:rPr>
        <w:t xml:space="preserve"> J Med</w:t>
      </w:r>
      <w:r w:rsidRPr="00A343AF">
        <w:rPr>
          <w:color w:val="000000" w:themeColor="text1"/>
        </w:rPr>
        <w:t xml:space="preserve"> 2001; 344: 319–26</w:t>
      </w:r>
    </w:p>
    <w:p w14:paraId="35C18DA2" w14:textId="3BBFA612" w:rsidR="00067A9B" w:rsidRPr="00A343AF" w:rsidRDefault="00067A9B" w:rsidP="00067A9B">
      <w:pPr>
        <w:rPr>
          <w:color w:val="000000" w:themeColor="text1"/>
        </w:rPr>
      </w:pPr>
      <w:r w:rsidRPr="006170E8">
        <w:rPr>
          <w:color w:val="000000" w:themeColor="text1"/>
          <w:lang w:val="it-IT"/>
        </w:rPr>
        <w:t>3</w:t>
      </w:r>
      <w:r w:rsidR="0061395C">
        <w:rPr>
          <w:color w:val="000000" w:themeColor="text1"/>
          <w:lang w:val="it-IT"/>
        </w:rPr>
        <w:t>6</w:t>
      </w:r>
      <w:r w:rsidRPr="006170E8">
        <w:rPr>
          <w:color w:val="000000" w:themeColor="text1"/>
          <w:lang w:val="it-IT"/>
        </w:rPr>
        <w:t xml:space="preserve">.Ascherio A, Zhang SM, Hernan MA, et al. </w:t>
      </w:r>
      <w:r w:rsidRPr="00A343AF">
        <w:rPr>
          <w:color w:val="000000" w:themeColor="text1"/>
        </w:rPr>
        <w:t xml:space="preserve">Hepatitis B vaccination and the risk of multiple sclerosis. </w:t>
      </w:r>
      <w:r w:rsidRPr="00845D34">
        <w:rPr>
          <w:i/>
          <w:iCs/>
          <w:color w:val="000000" w:themeColor="text1"/>
        </w:rPr>
        <w:t xml:space="preserve">N </w:t>
      </w:r>
      <w:proofErr w:type="spellStart"/>
      <w:r w:rsidRPr="00845D34">
        <w:rPr>
          <w:i/>
          <w:iCs/>
          <w:color w:val="000000" w:themeColor="text1"/>
        </w:rPr>
        <w:t>Engl</w:t>
      </w:r>
      <w:proofErr w:type="spellEnd"/>
      <w:r w:rsidRPr="00845D34">
        <w:rPr>
          <w:i/>
          <w:iCs/>
          <w:color w:val="000000" w:themeColor="text1"/>
        </w:rPr>
        <w:t xml:space="preserve"> J Med</w:t>
      </w:r>
      <w:r w:rsidRPr="00A343AF">
        <w:rPr>
          <w:color w:val="000000" w:themeColor="text1"/>
        </w:rPr>
        <w:t xml:space="preserve"> 2001; 344: 327–32</w:t>
      </w:r>
    </w:p>
    <w:p w14:paraId="5D63629B" w14:textId="4252DA87" w:rsidR="00067A9B" w:rsidRPr="00A343AF" w:rsidRDefault="00067A9B" w:rsidP="00067A9B">
      <w:pPr>
        <w:rPr>
          <w:color w:val="000000" w:themeColor="text1"/>
        </w:rPr>
      </w:pPr>
      <w:r w:rsidRPr="00A343AF">
        <w:rPr>
          <w:color w:val="000000" w:themeColor="text1"/>
        </w:rPr>
        <w:t>3</w:t>
      </w:r>
      <w:r w:rsidR="0061395C">
        <w:rPr>
          <w:color w:val="000000" w:themeColor="text1"/>
        </w:rPr>
        <w:t>7</w:t>
      </w:r>
      <w:r w:rsidRPr="00A343AF">
        <w:rPr>
          <w:color w:val="000000" w:themeColor="text1"/>
        </w:rPr>
        <w:t xml:space="preserve">.Langer-Gould A, Qian L, </w:t>
      </w:r>
      <w:proofErr w:type="spellStart"/>
      <w:r w:rsidRPr="00A343AF">
        <w:rPr>
          <w:color w:val="000000" w:themeColor="text1"/>
        </w:rPr>
        <w:t>Tartof</w:t>
      </w:r>
      <w:proofErr w:type="spellEnd"/>
      <w:r w:rsidRPr="00A343AF">
        <w:rPr>
          <w:color w:val="000000" w:themeColor="text1"/>
        </w:rPr>
        <w:t xml:space="preserve"> SY et al. Vaccines and the Risk of Multiple Sclerosis and Other Central Nervous System Demyelinating </w:t>
      </w:r>
      <w:proofErr w:type="spellStart"/>
      <w:r w:rsidRPr="00A343AF">
        <w:rPr>
          <w:color w:val="000000" w:themeColor="text1"/>
        </w:rPr>
        <w:t>Diseases.</w:t>
      </w:r>
      <w:r w:rsidRPr="00845D34">
        <w:rPr>
          <w:i/>
          <w:iCs/>
          <w:color w:val="000000" w:themeColor="text1"/>
        </w:rPr>
        <w:t>JAMA</w:t>
      </w:r>
      <w:proofErr w:type="spellEnd"/>
      <w:r w:rsidRPr="00845D34">
        <w:rPr>
          <w:i/>
          <w:iCs/>
          <w:color w:val="000000" w:themeColor="text1"/>
        </w:rPr>
        <w:t xml:space="preserve"> Neurol</w:t>
      </w:r>
      <w:r>
        <w:rPr>
          <w:color w:val="000000" w:themeColor="text1"/>
        </w:rPr>
        <w:t xml:space="preserve"> </w:t>
      </w:r>
      <w:r w:rsidRPr="00A343AF">
        <w:rPr>
          <w:color w:val="000000" w:themeColor="text1"/>
        </w:rPr>
        <w:t>2014;71(12):1506-13</w:t>
      </w:r>
    </w:p>
    <w:p w14:paraId="48CABD95" w14:textId="7F964CA6" w:rsidR="00067A9B" w:rsidRPr="00A343AF" w:rsidRDefault="00067A9B" w:rsidP="00067A9B">
      <w:pPr>
        <w:rPr>
          <w:color w:val="000000" w:themeColor="text1"/>
        </w:rPr>
      </w:pPr>
      <w:r w:rsidRPr="00A343AF">
        <w:rPr>
          <w:color w:val="000000" w:themeColor="text1"/>
        </w:rPr>
        <w:t>3</w:t>
      </w:r>
      <w:r w:rsidR="0061395C">
        <w:rPr>
          <w:color w:val="000000" w:themeColor="text1"/>
        </w:rPr>
        <w:t>8</w:t>
      </w:r>
      <w:r w:rsidRPr="00A343AF">
        <w:rPr>
          <w:color w:val="000000" w:themeColor="text1"/>
        </w:rPr>
        <w:t xml:space="preserve">. </w:t>
      </w:r>
      <w:r w:rsidRPr="00845D34">
        <w:rPr>
          <w:color w:val="000000" w:themeColor="text1"/>
        </w:rPr>
        <w:t xml:space="preserve">Yong Chen 1, </w:t>
      </w:r>
      <w:proofErr w:type="spellStart"/>
      <w:r w:rsidRPr="00845D34">
        <w:rPr>
          <w:color w:val="000000" w:themeColor="text1"/>
        </w:rPr>
        <w:t>Fubao</w:t>
      </w:r>
      <w:proofErr w:type="spellEnd"/>
      <w:r w:rsidRPr="00845D34">
        <w:rPr>
          <w:color w:val="000000" w:themeColor="text1"/>
        </w:rPr>
        <w:t xml:space="preserve"> Ma 2, </w:t>
      </w:r>
      <w:proofErr w:type="spellStart"/>
      <w:r w:rsidRPr="00845D34">
        <w:rPr>
          <w:color w:val="000000" w:themeColor="text1"/>
        </w:rPr>
        <w:t>Yuanling</w:t>
      </w:r>
      <w:proofErr w:type="spellEnd"/>
      <w:r w:rsidRPr="00845D34">
        <w:rPr>
          <w:color w:val="000000" w:themeColor="text1"/>
        </w:rPr>
        <w:t xml:space="preserve"> Xu et al. Vaccines and the Risk of Acute Disseminated Encephalomyelitis. </w:t>
      </w:r>
      <w:r w:rsidRPr="00882958">
        <w:rPr>
          <w:i/>
          <w:iCs/>
          <w:color w:val="000000" w:themeColor="text1"/>
        </w:rPr>
        <w:t>Vaccine</w:t>
      </w:r>
      <w:r w:rsidRPr="00845D34">
        <w:rPr>
          <w:color w:val="000000" w:themeColor="text1"/>
        </w:rPr>
        <w:t xml:space="preserve"> 2018;36(26):3733-3739.</w:t>
      </w:r>
    </w:p>
    <w:p w14:paraId="24D7DED6" w14:textId="440773D1" w:rsidR="00067A9B" w:rsidRDefault="00067A9B" w:rsidP="00067A9B">
      <w:pPr>
        <w:rPr>
          <w:color w:val="000000" w:themeColor="text1"/>
        </w:rPr>
      </w:pPr>
      <w:r w:rsidRPr="00257063">
        <w:rPr>
          <w:color w:val="000000" w:themeColor="text1"/>
        </w:rPr>
        <w:t>3</w:t>
      </w:r>
      <w:r w:rsidR="0061395C">
        <w:rPr>
          <w:color w:val="000000" w:themeColor="text1"/>
        </w:rPr>
        <w:t>9</w:t>
      </w:r>
      <w:r w:rsidRPr="00257063">
        <w:rPr>
          <w:color w:val="000000" w:themeColor="text1"/>
        </w:rPr>
        <w:t xml:space="preserve">.Wraith DC, Goldman M, Lambert PH. Vaccination and autoimmune disease: what is the evidence? </w:t>
      </w:r>
      <w:r w:rsidRPr="00845D34">
        <w:rPr>
          <w:i/>
          <w:iCs/>
          <w:color w:val="000000" w:themeColor="text1"/>
        </w:rPr>
        <w:t>Lancet</w:t>
      </w:r>
      <w:r w:rsidRPr="00257063">
        <w:rPr>
          <w:color w:val="000000" w:themeColor="text1"/>
        </w:rPr>
        <w:t>. 2003;</w:t>
      </w:r>
      <w:r>
        <w:rPr>
          <w:color w:val="000000" w:themeColor="text1"/>
        </w:rPr>
        <w:t xml:space="preserve"> </w:t>
      </w:r>
      <w:r w:rsidRPr="00257063">
        <w:rPr>
          <w:color w:val="000000" w:themeColor="text1"/>
        </w:rPr>
        <w:t xml:space="preserve">362:1659-1666. </w:t>
      </w:r>
    </w:p>
    <w:p w14:paraId="62096AD7" w14:textId="0EED0B5D" w:rsidR="00C6324C" w:rsidRPr="00376CC5" w:rsidRDefault="0061395C" w:rsidP="00F1329C">
      <w:r>
        <w:rPr>
          <w:color w:val="000000" w:themeColor="text1"/>
        </w:rPr>
        <w:t>40</w:t>
      </w:r>
      <w:r w:rsidR="00067A9B" w:rsidRPr="004B5ED3">
        <w:rPr>
          <w:color w:val="000000" w:themeColor="text1"/>
        </w:rPr>
        <w:t>.</w:t>
      </w:r>
      <w:r w:rsidR="00067A9B" w:rsidRPr="00845D34">
        <w:rPr>
          <w:color w:val="000000" w:themeColor="text1"/>
        </w:rPr>
        <w:t xml:space="preserve">Coelho AM, Cherubini G, De Stefani A. Serological prevalence of toxoplasmosis and neosporosis in dogs diagnosed with suspected meningoencephalitis in the UK. </w:t>
      </w:r>
      <w:r w:rsidR="00067A9B" w:rsidRPr="00845D34">
        <w:rPr>
          <w:i/>
          <w:iCs/>
          <w:color w:val="000000" w:themeColor="text1"/>
        </w:rPr>
        <w:t xml:space="preserve">J Small </w:t>
      </w:r>
      <w:proofErr w:type="spellStart"/>
      <w:r w:rsidR="00067A9B" w:rsidRPr="00845D34">
        <w:rPr>
          <w:i/>
          <w:iCs/>
          <w:color w:val="000000" w:themeColor="text1"/>
        </w:rPr>
        <w:t>Anim</w:t>
      </w:r>
      <w:proofErr w:type="spellEnd"/>
      <w:r w:rsidR="00067A9B" w:rsidRPr="00845D34">
        <w:rPr>
          <w:i/>
          <w:iCs/>
          <w:color w:val="000000" w:themeColor="text1"/>
        </w:rPr>
        <w:t xml:space="preserve"> </w:t>
      </w:r>
      <w:proofErr w:type="spellStart"/>
      <w:r w:rsidR="00067A9B" w:rsidRPr="00845D34">
        <w:rPr>
          <w:i/>
          <w:iCs/>
          <w:color w:val="000000" w:themeColor="text1"/>
        </w:rPr>
        <w:t>Pract</w:t>
      </w:r>
      <w:proofErr w:type="spellEnd"/>
      <w:r w:rsidR="00067A9B">
        <w:rPr>
          <w:color w:val="000000" w:themeColor="text1"/>
        </w:rPr>
        <w:t xml:space="preserve"> </w:t>
      </w:r>
      <w:r w:rsidR="00067A9B" w:rsidRPr="00845D34">
        <w:rPr>
          <w:color w:val="000000" w:themeColor="text1"/>
        </w:rPr>
        <w:t>2019;60(1):44-50</w:t>
      </w:r>
      <w:r w:rsidR="00C6324C" w:rsidRPr="00376CC5">
        <w:t>Supplementary Material</w:t>
      </w:r>
    </w:p>
    <w:p w14:paraId="49DC087C" w14:textId="77777777" w:rsidR="00532248" w:rsidRPr="001549D3" w:rsidRDefault="00532248" w:rsidP="00532248">
      <w:pPr>
        <w:pStyle w:val="Titolo2"/>
      </w:pPr>
      <w:r w:rsidRPr="0001436A">
        <w:t>Supplementary</w:t>
      </w:r>
      <w:r w:rsidRPr="001549D3">
        <w:t xml:space="preserve"> Figures</w:t>
      </w:r>
    </w:p>
    <w:p w14:paraId="66FEF421" w14:textId="4E805A25" w:rsidR="00950B37" w:rsidRDefault="00532248" w:rsidP="00532248">
      <w:pPr>
        <w:pStyle w:val="Titolo1"/>
        <w:numPr>
          <w:ilvl w:val="0"/>
          <w:numId w:val="0"/>
        </w:numPr>
        <w:ind w:left="567"/>
      </w:pPr>
      <w:r>
        <w:t>Figure 1:</w:t>
      </w:r>
      <w:r w:rsidRPr="00532248">
        <w:t xml:space="preserve"> </w:t>
      </w:r>
      <w:r w:rsidRPr="00B84639">
        <w:t>Flow chart showing case selection</w:t>
      </w:r>
    </w:p>
    <w:p w14:paraId="319FDC61" w14:textId="6B37AD72" w:rsidR="00532248" w:rsidRDefault="00532248" w:rsidP="00532248">
      <w:pPr>
        <w:pStyle w:val="Titolo2"/>
      </w:pPr>
      <w:r w:rsidRPr="0001436A">
        <w:t>Supplementary</w:t>
      </w:r>
      <w:r w:rsidRPr="001549D3">
        <w:t xml:space="preserve"> </w:t>
      </w:r>
      <w:r>
        <w:t>Tables</w:t>
      </w:r>
    </w:p>
    <w:tbl>
      <w:tblPr>
        <w:tblStyle w:val="Grigliatabella"/>
        <w:tblW w:w="9772" w:type="dxa"/>
        <w:tblInd w:w="-5" w:type="dxa"/>
        <w:tblLook w:val="04A0" w:firstRow="1" w:lastRow="0" w:firstColumn="1" w:lastColumn="0" w:noHBand="0" w:noVBand="1"/>
      </w:tblPr>
      <w:tblGrid>
        <w:gridCol w:w="1763"/>
        <w:gridCol w:w="1631"/>
        <w:gridCol w:w="1665"/>
        <w:gridCol w:w="1468"/>
        <w:gridCol w:w="1665"/>
        <w:gridCol w:w="1580"/>
      </w:tblGrid>
      <w:tr w:rsidR="00655B5A" w14:paraId="65746DFB" w14:textId="5F3A831E" w:rsidTr="00A041FC">
        <w:tc>
          <w:tcPr>
            <w:tcW w:w="1763" w:type="dxa"/>
          </w:tcPr>
          <w:p w14:paraId="1AD47AF8" w14:textId="77777777" w:rsidR="00655B5A" w:rsidRDefault="00655B5A" w:rsidP="00655B5A">
            <w:pPr>
              <w:pStyle w:val="NormaleWeb"/>
            </w:pPr>
            <w:r>
              <w:t>Period</w:t>
            </w:r>
          </w:p>
        </w:tc>
        <w:tc>
          <w:tcPr>
            <w:tcW w:w="1631" w:type="dxa"/>
          </w:tcPr>
          <w:p w14:paraId="647E3C88" w14:textId="77777777" w:rsidR="00655B5A" w:rsidRDefault="00655B5A" w:rsidP="00655B5A">
            <w:pPr>
              <w:pStyle w:val="NormaleWeb"/>
              <w:jc w:val="center"/>
            </w:pPr>
            <w:r>
              <w:t>Observed frequency</w:t>
            </w:r>
          </w:p>
        </w:tc>
        <w:tc>
          <w:tcPr>
            <w:tcW w:w="1665" w:type="dxa"/>
          </w:tcPr>
          <w:p w14:paraId="59E50F56" w14:textId="77777777" w:rsidR="00655B5A" w:rsidRDefault="00655B5A" w:rsidP="00655B5A">
            <w:pPr>
              <w:pStyle w:val="NormaleWeb"/>
              <w:jc w:val="center"/>
            </w:pPr>
            <w:r>
              <w:t>Observed proportion</w:t>
            </w:r>
          </w:p>
        </w:tc>
        <w:tc>
          <w:tcPr>
            <w:tcW w:w="1468" w:type="dxa"/>
          </w:tcPr>
          <w:p w14:paraId="438A3F97" w14:textId="5493D254" w:rsidR="00655B5A" w:rsidRDefault="00655B5A" w:rsidP="00655B5A">
            <w:pPr>
              <w:pStyle w:val="NormaleWeb"/>
              <w:jc w:val="center"/>
            </w:pPr>
            <w:r>
              <w:t>95% CI of proportion</w:t>
            </w:r>
          </w:p>
        </w:tc>
        <w:tc>
          <w:tcPr>
            <w:tcW w:w="1665" w:type="dxa"/>
          </w:tcPr>
          <w:p w14:paraId="29B66C88" w14:textId="752E42E7" w:rsidR="00655B5A" w:rsidRDefault="00655B5A" w:rsidP="00655B5A">
            <w:pPr>
              <w:pStyle w:val="NormaleWeb"/>
              <w:jc w:val="center"/>
            </w:pPr>
            <w:r>
              <w:t>99.17% CI of proportion</w:t>
            </w:r>
          </w:p>
        </w:tc>
        <w:tc>
          <w:tcPr>
            <w:tcW w:w="1580" w:type="dxa"/>
          </w:tcPr>
          <w:p w14:paraId="307B30BD" w14:textId="0EFB2565" w:rsidR="00655B5A" w:rsidRDefault="00655B5A" w:rsidP="00655B5A">
            <w:pPr>
              <w:pStyle w:val="NormaleWeb"/>
              <w:jc w:val="center"/>
            </w:pPr>
            <w:r>
              <w:t>Expected proportion</w:t>
            </w:r>
          </w:p>
        </w:tc>
      </w:tr>
      <w:tr w:rsidR="00655B5A" w14:paraId="7DF1EACB" w14:textId="390E2D3F" w:rsidTr="00A041FC">
        <w:tc>
          <w:tcPr>
            <w:tcW w:w="1763" w:type="dxa"/>
          </w:tcPr>
          <w:p w14:paraId="3EAC283A" w14:textId="77777777" w:rsidR="00655B5A" w:rsidRDefault="00655B5A" w:rsidP="00655B5A">
            <w:pPr>
              <w:pStyle w:val="NormaleWeb"/>
            </w:pPr>
            <w:r>
              <w:t>&lt;61 days</w:t>
            </w:r>
          </w:p>
        </w:tc>
        <w:tc>
          <w:tcPr>
            <w:tcW w:w="1631" w:type="dxa"/>
          </w:tcPr>
          <w:p w14:paraId="6D8FFE14" w14:textId="77777777" w:rsidR="00655B5A" w:rsidRDefault="00655B5A" w:rsidP="00655B5A">
            <w:pPr>
              <w:pStyle w:val="NormaleWeb"/>
              <w:jc w:val="center"/>
            </w:pPr>
            <w:r>
              <w:t>5</w:t>
            </w:r>
          </w:p>
        </w:tc>
        <w:tc>
          <w:tcPr>
            <w:tcW w:w="1665" w:type="dxa"/>
          </w:tcPr>
          <w:p w14:paraId="48132A45" w14:textId="77777777" w:rsidR="00655B5A" w:rsidRDefault="00655B5A" w:rsidP="00655B5A">
            <w:pPr>
              <w:pStyle w:val="NormaleWeb"/>
              <w:jc w:val="center"/>
            </w:pPr>
            <w:r>
              <w:t>0.125</w:t>
            </w:r>
          </w:p>
        </w:tc>
        <w:tc>
          <w:tcPr>
            <w:tcW w:w="1468" w:type="dxa"/>
          </w:tcPr>
          <w:p w14:paraId="22496D37" w14:textId="0AC9A10A" w:rsidR="00655B5A" w:rsidRDefault="00655B5A" w:rsidP="00655B5A">
            <w:pPr>
              <w:pStyle w:val="NormaleWeb"/>
              <w:jc w:val="center"/>
            </w:pPr>
            <w:r>
              <w:t>0.042-0.268</w:t>
            </w:r>
          </w:p>
        </w:tc>
        <w:tc>
          <w:tcPr>
            <w:tcW w:w="1665" w:type="dxa"/>
          </w:tcPr>
          <w:p w14:paraId="75EF89C7" w14:textId="7433BFB1" w:rsidR="00655B5A" w:rsidRDefault="00655B5A" w:rsidP="00655B5A">
            <w:pPr>
              <w:pStyle w:val="NormaleWeb"/>
              <w:jc w:val="center"/>
            </w:pPr>
            <w:r>
              <w:t>0.027-0.320</w:t>
            </w:r>
          </w:p>
        </w:tc>
        <w:tc>
          <w:tcPr>
            <w:tcW w:w="1580" w:type="dxa"/>
          </w:tcPr>
          <w:p w14:paraId="695B2572" w14:textId="53D65FAB" w:rsidR="00655B5A" w:rsidRDefault="00655B5A" w:rsidP="00655B5A">
            <w:pPr>
              <w:pStyle w:val="NormaleWeb"/>
              <w:jc w:val="center"/>
            </w:pPr>
            <w:r>
              <w:t>0.167</w:t>
            </w:r>
          </w:p>
        </w:tc>
      </w:tr>
      <w:tr w:rsidR="00655B5A" w14:paraId="6BEB240A" w14:textId="1559021C" w:rsidTr="00A041FC">
        <w:tc>
          <w:tcPr>
            <w:tcW w:w="1763" w:type="dxa"/>
          </w:tcPr>
          <w:p w14:paraId="44C965EF" w14:textId="77777777" w:rsidR="00655B5A" w:rsidRDefault="00655B5A" w:rsidP="00655B5A">
            <w:pPr>
              <w:pStyle w:val="NormaleWeb"/>
            </w:pPr>
            <w:r>
              <w:t>61-120 days</w:t>
            </w:r>
          </w:p>
        </w:tc>
        <w:tc>
          <w:tcPr>
            <w:tcW w:w="1631" w:type="dxa"/>
          </w:tcPr>
          <w:p w14:paraId="7D584E53" w14:textId="77777777" w:rsidR="00655B5A" w:rsidRDefault="00655B5A" w:rsidP="00655B5A">
            <w:pPr>
              <w:pStyle w:val="NormaleWeb"/>
              <w:jc w:val="center"/>
            </w:pPr>
            <w:r>
              <w:t>14</w:t>
            </w:r>
          </w:p>
        </w:tc>
        <w:tc>
          <w:tcPr>
            <w:tcW w:w="1665" w:type="dxa"/>
          </w:tcPr>
          <w:p w14:paraId="3FC1B173" w14:textId="4070F049" w:rsidR="00655B5A" w:rsidRDefault="00655B5A" w:rsidP="00655B5A">
            <w:pPr>
              <w:pStyle w:val="NormaleWeb"/>
              <w:jc w:val="center"/>
            </w:pPr>
            <w:r>
              <w:t>0.350</w:t>
            </w:r>
          </w:p>
        </w:tc>
        <w:tc>
          <w:tcPr>
            <w:tcW w:w="1468" w:type="dxa"/>
          </w:tcPr>
          <w:p w14:paraId="04C166D1" w14:textId="45888844" w:rsidR="00655B5A" w:rsidRPr="00A041FC" w:rsidRDefault="00655B5A" w:rsidP="00655B5A">
            <w:pPr>
              <w:pStyle w:val="NormaleWeb"/>
              <w:jc w:val="center"/>
              <w:rPr>
                <w:b/>
                <w:bCs/>
              </w:rPr>
            </w:pPr>
            <w:r w:rsidRPr="00A041FC">
              <w:rPr>
                <w:b/>
                <w:bCs/>
              </w:rPr>
              <w:t>0.206-0.517</w:t>
            </w:r>
          </w:p>
        </w:tc>
        <w:tc>
          <w:tcPr>
            <w:tcW w:w="1665" w:type="dxa"/>
          </w:tcPr>
          <w:p w14:paraId="0A9211D5" w14:textId="21E07611" w:rsidR="00655B5A" w:rsidRPr="00A041FC" w:rsidRDefault="00655B5A" w:rsidP="00655B5A">
            <w:pPr>
              <w:pStyle w:val="NormaleWeb"/>
              <w:jc w:val="center"/>
              <w:rPr>
                <w:b/>
                <w:bCs/>
              </w:rPr>
            </w:pPr>
            <w:r w:rsidRPr="00A041FC">
              <w:rPr>
                <w:b/>
                <w:bCs/>
              </w:rPr>
              <w:t>0.168-0.570</w:t>
            </w:r>
          </w:p>
        </w:tc>
        <w:tc>
          <w:tcPr>
            <w:tcW w:w="1580" w:type="dxa"/>
          </w:tcPr>
          <w:p w14:paraId="06A1A01D" w14:textId="62210400" w:rsidR="00655B5A" w:rsidRDefault="00655B5A" w:rsidP="00655B5A">
            <w:pPr>
              <w:pStyle w:val="NormaleWeb"/>
              <w:jc w:val="center"/>
            </w:pPr>
            <w:r>
              <w:t>0.167</w:t>
            </w:r>
          </w:p>
        </w:tc>
      </w:tr>
      <w:tr w:rsidR="00655B5A" w14:paraId="3C0272E4" w14:textId="6C60D56B" w:rsidTr="00A041FC">
        <w:tc>
          <w:tcPr>
            <w:tcW w:w="1763" w:type="dxa"/>
          </w:tcPr>
          <w:p w14:paraId="36D2805B" w14:textId="77777777" w:rsidR="00655B5A" w:rsidRDefault="00655B5A" w:rsidP="00655B5A">
            <w:pPr>
              <w:pStyle w:val="NormaleWeb"/>
            </w:pPr>
            <w:r>
              <w:t>121-180 days</w:t>
            </w:r>
          </w:p>
        </w:tc>
        <w:tc>
          <w:tcPr>
            <w:tcW w:w="1631" w:type="dxa"/>
          </w:tcPr>
          <w:p w14:paraId="4492EC1D" w14:textId="77777777" w:rsidR="00655B5A" w:rsidRDefault="00655B5A" w:rsidP="00655B5A">
            <w:pPr>
              <w:pStyle w:val="NormaleWeb"/>
              <w:jc w:val="center"/>
            </w:pPr>
            <w:r>
              <w:t>9</w:t>
            </w:r>
          </w:p>
        </w:tc>
        <w:tc>
          <w:tcPr>
            <w:tcW w:w="1665" w:type="dxa"/>
          </w:tcPr>
          <w:p w14:paraId="5378F232" w14:textId="47BEFB42" w:rsidR="00655B5A" w:rsidRDefault="00655B5A" w:rsidP="00655B5A">
            <w:pPr>
              <w:pStyle w:val="NormaleWeb"/>
              <w:jc w:val="center"/>
            </w:pPr>
            <w:r>
              <w:t>0.230</w:t>
            </w:r>
          </w:p>
        </w:tc>
        <w:tc>
          <w:tcPr>
            <w:tcW w:w="1468" w:type="dxa"/>
          </w:tcPr>
          <w:p w14:paraId="61F043F3" w14:textId="1169730B" w:rsidR="00655B5A" w:rsidRDefault="00655B5A" w:rsidP="00655B5A">
            <w:pPr>
              <w:pStyle w:val="NormaleWeb"/>
              <w:jc w:val="center"/>
            </w:pPr>
            <w:r>
              <w:t>0.108-0.385</w:t>
            </w:r>
          </w:p>
        </w:tc>
        <w:tc>
          <w:tcPr>
            <w:tcW w:w="1665" w:type="dxa"/>
          </w:tcPr>
          <w:p w14:paraId="596BAEAC" w14:textId="156F34DB" w:rsidR="00655B5A" w:rsidRDefault="00940D4F" w:rsidP="00655B5A">
            <w:pPr>
              <w:pStyle w:val="NormaleWeb"/>
              <w:jc w:val="center"/>
            </w:pPr>
            <w:r>
              <w:t>0.081-0.439</w:t>
            </w:r>
          </w:p>
        </w:tc>
        <w:tc>
          <w:tcPr>
            <w:tcW w:w="1580" w:type="dxa"/>
          </w:tcPr>
          <w:p w14:paraId="5E0AB7E9" w14:textId="27A36EE2" w:rsidR="00655B5A" w:rsidRDefault="00655B5A" w:rsidP="00655B5A">
            <w:pPr>
              <w:pStyle w:val="NormaleWeb"/>
              <w:jc w:val="center"/>
            </w:pPr>
            <w:r>
              <w:t>0.167</w:t>
            </w:r>
          </w:p>
        </w:tc>
      </w:tr>
      <w:tr w:rsidR="00655B5A" w14:paraId="7CF0AA9B" w14:textId="42F27B64" w:rsidTr="00A041FC">
        <w:tc>
          <w:tcPr>
            <w:tcW w:w="1763" w:type="dxa"/>
          </w:tcPr>
          <w:p w14:paraId="44FE781C" w14:textId="77777777" w:rsidR="00655B5A" w:rsidRDefault="00655B5A" w:rsidP="00655B5A">
            <w:pPr>
              <w:pStyle w:val="NormaleWeb"/>
            </w:pPr>
            <w:r>
              <w:t>181-240 days</w:t>
            </w:r>
          </w:p>
        </w:tc>
        <w:tc>
          <w:tcPr>
            <w:tcW w:w="1631" w:type="dxa"/>
          </w:tcPr>
          <w:p w14:paraId="7152977F" w14:textId="77777777" w:rsidR="00655B5A" w:rsidRDefault="00655B5A" w:rsidP="00655B5A">
            <w:pPr>
              <w:pStyle w:val="NormaleWeb"/>
              <w:jc w:val="center"/>
            </w:pPr>
            <w:r>
              <w:t>7</w:t>
            </w:r>
          </w:p>
        </w:tc>
        <w:tc>
          <w:tcPr>
            <w:tcW w:w="1665" w:type="dxa"/>
          </w:tcPr>
          <w:p w14:paraId="088ACE5D" w14:textId="77777777" w:rsidR="00655B5A" w:rsidRDefault="00655B5A" w:rsidP="00655B5A">
            <w:pPr>
              <w:pStyle w:val="NormaleWeb"/>
              <w:jc w:val="center"/>
            </w:pPr>
            <w:r>
              <w:t>0.175</w:t>
            </w:r>
          </w:p>
        </w:tc>
        <w:tc>
          <w:tcPr>
            <w:tcW w:w="1468" w:type="dxa"/>
          </w:tcPr>
          <w:p w14:paraId="501B7690" w14:textId="664B7073" w:rsidR="00655B5A" w:rsidRDefault="00655B5A" w:rsidP="00655B5A">
            <w:pPr>
              <w:pStyle w:val="NormaleWeb"/>
              <w:jc w:val="center"/>
            </w:pPr>
            <w:r>
              <w:t>0.073-0.328</w:t>
            </w:r>
          </w:p>
        </w:tc>
        <w:tc>
          <w:tcPr>
            <w:tcW w:w="1665" w:type="dxa"/>
          </w:tcPr>
          <w:p w14:paraId="48A055AB" w14:textId="7725E323" w:rsidR="00655B5A" w:rsidRDefault="00940D4F" w:rsidP="00655B5A">
            <w:pPr>
              <w:pStyle w:val="NormaleWeb"/>
              <w:jc w:val="center"/>
            </w:pPr>
            <w:r>
              <w:t>0.052-0.381</w:t>
            </w:r>
          </w:p>
        </w:tc>
        <w:tc>
          <w:tcPr>
            <w:tcW w:w="1580" w:type="dxa"/>
          </w:tcPr>
          <w:p w14:paraId="5C5566D3" w14:textId="43E1A9BF" w:rsidR="00655B5A" w:rsidRDefault="00655B5A" w:rsidP="00655B5A">
            <w:pPr>
              <w:pStyle w:val="NormaleWeb"/>
              <w:jc w:val="center"/>
            </w:pPr>
            <w:r>
              <w:t>0.167</w:t>
            </w:r>
          </w:p>
        </w:tc>
      </w:tr>
      <w:tr w:rsidR="00655B5A" w14:paraId="7C90FF68" w14:textId="7289D8BE" w:rsidTr="00A041FC">
        <w:tc>
          <w:tcPr>
            <w:tcW w:w="1763" w:type="dxa"/>
          </w:tcPr>
          <w:p w14:paraId="37CDFA1D" w14:textId="77777777" w:rsidR="00655B5A" w:rsidRDefault="00655B5A" w:rsidP="00655B5A">
            <w:pPr>
              <w:pStyle w:val="NormaleWeb"/>
            </w:pPr>
            <w:r>
              <w:lastRenderedPageBreak/>
              <w:t>241-300 days</w:t>
            </w:r>
          </w:p>
        </w:tc>
        <w:tc>
          <w:tcPr>
            <w:tcW w:w="1631" w:type="dxa"/>
          </w:tcPr>
          <w:p w14:paraId="74010379" w14:textId="77777777" w:rsidR="00655B5A" w:rsidRDefault="00655B5A" w:rsidP="00655B5A">
            <w:pPr>
              <w:pStyle w:val="NormaleWeb"/>
              <w:jc w:val="center"/>
            </w:pPr>
            <w:r>
              <w:t>5</w:t>
            </w:r>
          </w:p>
        </w:tc>
        <w:tc>
          <w:tcPr>
            <w:tcW w:w="1665" w:type="dxa"/>
          </w:tcPr>
          <w:p w14:paraId="65EF2A19" w14:textId="77777777" w:rsidR="00655B5A" w:rsidRDefault="00655B5A" w:rsidP="00655B5A">
            <w:pPr>
              <w:pStyle w:val="NormaleWeb"/>
              <w:jc w:val="center"/>
            </w:pPr>
            <w:r>
              <w:t>0.125</w:t>
            </w:r>
          </w:p>
        </w:tc>
        <w:tc>
          <w:tcPr>
            <w:tcW w:w="1468" w:type="dxa"/>
          </w:tcPr>
          <w:p w14:paraId="232EE5B6" w14:textId="04A354DB" w:rsidR="00655B5A" w:rsidRDefault="00655B5A" w:rsidP="00655B5A">
            <w:pPr>
              <w:pStyle w:val="NormaleWeb"/>
              <w:jc w:val="center"/>
            </w:pPr>
            <w:r>
              <w:t>0.042-0.268</w:t>
            </w:r>
          </w:p>
        </w:tc>
        <w:tc>
          <w:tcPr>
            <w:tcW w:w="1665" w:type="dxa"/>
          </w:tcPr>
          <w:p w14:paraId="592F4EC8" w14:textId="08FAF794" w:rsidR="00655B5A" w:rsidRDefault="00940D4F" w:rsidP="00655B5A">
            <w:pPr>
              <w:pStyle w:val="NormaleWeb"/>
              <w:jc w:val="center"/>
            </w:pPr>
            <w:r>
              <w:t>0.027-0.320</w:t>
            </w:r>
          </w:p>
        </w:tc>
        <w:tc>
          <w:tcPr>
            <w:tcW w:w="1580" w:type="dxa"/>
          </w:tcPr>
          <w:p w14:paraId="3E5D68CD" w14:textId="4339CF77" w:rsidR="00655B5A" w:rsidRDefault="00655B5A" w:rsidP="00655B5A">
            <w:pPr>
              <w:pStyle w:val="NormaleWeb"/>
              <w:jc w:val="center"/>
            </w:pPr>
            <w:r>
              <w:t>0.167</w:t>
            </w:r>
          </w:p>
        </w:tc>
      </w:tr>
      <w:tr w:rsidR="00655B5A" w14:paraId="4A116D80" w14:textId="7C700892" w:rsidTr="00A041FC">
        <w:tc>
          <w:tcPr>
            <w:tcW w:w="1763" w:type="dxa"/>
          </w:tcPr>
          <w:p w14:paraId="61A32281" w14:textId="77777777" w:rsidR="00655B5A" w:rsidRDefault="00655B5A" w:rsidP="00655B5A">
            <w:pPr>
              <w:pStyle w:val="NormaleWeb"/>
            </w:pPr>
            <w:r>
              <w:t>301-365 days</w:t>
            </w:r>
          </w:p>
        </w:tc>
        <w:tc>
          <w:tcPr>
            <w:tcW w:w="1631" w:type="dxa"/>
          </w:tcPr>
          <w:p w14:paraId="4A6F9417" w14:textId="77777777" w:rsidR="00655B5A" w:rsidRDefault="00655B5A" w:rsidP="00655B5A">
            <w:pPr>
              <w:pStyle w:val="NormaleWeb"/>
              <w:jc w:val="center"/>
            </w:pPr>
            <w:r>
              <w:t>0</w:t>
            </w:r>
          </w:p>
        </w:tc>
        <w:tc>
          <w:tcPr>
            <w:tcW w:w="1665" w:type="dxa"/>
          </w:tcPr>
          <w:p w14:paraId="35911F68" w14:textId="04B9EB8C" w:rsidR="00655B5A" w:rsidRDefault="00655B5A" w:rsidP="00655B5A">
            <w:pPr>
              <w:pStyle w:val="NormaleWeb"/>
              <w:jc w:val="center"/>
            </w:pPr>
            <w:r>
              <w:t>0.000</w:t>
            </w:r>
          </w:p>
        </w:tc>
        <w:tc>
          <w:tcPr>
            <w:tcW w:w="1468" w:type="dxa"/>
          </w:tcPr>
          <w:p w14:paraId="1B6EA596" w14:textId="1EF8AE14" w:rsidR="00655B5A" w:rsidRPr="00A041FC" w:rsidRDefault="00655B5A" w:rsidP="00655B5A">
            <w:pPr>
              <w:pStyle w:val="NormaleWeb"/>
              <w:jc w:val="center"/>
              <w:rPr>
                <w:b/>
                <w:bCs/>
              </w:rPr>
            </w:pPr>
            <w:r w:rsidRPr="00A041FC">
              <w:rPr>
                <w:b/>
                <w:bCs/>
              </w:rPr>
              <w:t>0.000-0.088</w:t>
            </w:r>
          </w:p>
        </w:tc>
        <w:tc>
          <w:tcPr>
            <w:tcW w:w="1665" w:type="dxa"/>
          </w:tcPr>
          <w:p w14:paraId="7ED325EF" w14:textId="453AE96A" w:rsidR="00655B5A" w:rsidRPr="00A041FC" w:rsidRDefault="00940D4F" w:rsidP="00655B5A">
            <w:pPr>
              <w:pStyle w:val="NormaleWeb"/>
              <w:jc w:val="center"/>
              <w:rPr>
                <w:b/>
                <w:bCs/>
              </w:rPr>
            </w:pPr>
            <w:r w:rsidRPr="00A041FC">
              <w:rPr>
                <w:b/>
                <w:bCs/>
              </w:rPr>
              <w:t>0.000-0.128</w:t>
            </w:r>
          </w:p>
        </w:tc>
        <w:tc>
          <w:tcPr>
            <w:tcW w:w="1580" w:type="dxa"/>
          </w:tcPr>
          <w:p w14:paraId="765B84DF" w14:textId="1BD8E239" w:rsidR="00655B5A" w:rsidRDefault="00655B5A" w:rsidP="00655B5A">
            <w:pPr>
              <w:pStyle w:val="NormaleWeb"/>
              <w:jc w:val="center"/>
            </w:pPr>
            <w:r>
              <w:t>0.167</w:t>
            </w:r>
          </w:p>
        </w:tc>
      </w:tr>
    </w:tbl>
    <w:p w14:paraId="23F29F1E" w14:textId="561763A3" w:rsidR="00532248" w:rsidRPr="00B84639" w:rsidRDefault="00532248" w:rsidP="00532248">
      <w:pPr>
        <w:pStyle w:val="NormaleWeb"/>
        <w:shd w:val="clear" w:color="auto" w:fill="FFFFFF"/>
        <w:rPr>
          <w:bCs/>
        </w:rPr>
      </w:pPr>
      <w:r w:rsidRPr="00B84639">
        <w:rPr>
          <w:b/>
        </w:rPr>
        <w:t xml:space="preserve">Table 1: </w:t>
      </w:r>
      <w:r w:rsidR="00C70458">
        <w:rPr>
          <w:bCs/>
        </w:rPr>
        <w:t xml:space="preserve">Clopper-Pearson confidence </w:t>
      </w:r>
      <w:r w:rsidR="00A041FC">
        <w:rPr>
          <w:bCs/>
        </w:rPr>
        <w:t xml:space="preserve">intervals </w:t>
      </w:r>
      <w:r w:rsidR="00A041FC" w:rsidRPr="00B84639">
        <w:rPr>
          <w:bCs/>
        </w:rPr>
        <w:t>of</w:t>
      </w:r>
      <w:r w:rsidRPr="00B84639">
        <w:rPr>
          <w:bCs/>
        </w:rPr>
        <w:t xml:space="preserve"> a single proportion for each 2</w:t>
      </w:r>
      <w:r w:rsidR="00C70458">
        <w:rPr>
          <w:bCs/>
        </w:rPr>
        <w:t>-</w:t>
      </w:r>
      <w:r w:rsidRPr="00B84639">
        <w:rPr>
          <w:bCs/>
        </w:rPr>
        <w:t>month period</w:t>
      </w:r>
    </w:p>
    <w:tbl>
      <w:tblPr>
        <w:tblStyle w:val="Grigliatabella"/>
        <w:tblW w:w="0" w:type="auto"/>
        <w:tblLook w:val="04A0" w:firstRow="1" w:lastRow="0" w:firstColumn="1" w:lastColumn="0" w:noHBand="0" w:noVBand="1"/>
      </w:tblPr>
      <w:tblGrid>
        <w:gridCol w:w="2348"/>
        <w:gridCol w:w="2348"/>
        <w:gridCol w:w="2349"/>
        <w:gridCol w:w="2349"/>
      </w:tblGrid>
      <w:tr w:rsidR="00532248" w14:paraId="2767F0A5" w14:textId="77777777" w:rsidTr="00BD224E">
        <w:tc>
          <w:tcPr>
            <w:tcW w:w="2348" w:type="dxa"/>
          </w:tcPr>
          <w:p w14:paraId="25DAA1E8" w14:textId="77777777" w:rsidR="00532248" w:rsidRDefault="00532248" w:rsidP="00BD224E">
            <w:pPr>
              <w:pStyle w:val="NormaleWeb"/>
              <w:jc w:val="center"/>
            </w:pPr>
            <w:r>
              <w:t>Period</w:t>
            </w:r>
          </w:p>
        </w:tc>
        <w:tc>
          <w:tcPr>
            <w:tcW w:w="2348" w:type="dxa"/>
          </w:tcPr>
          <w:p w14:paraId="4F82114E" w14:textId="77777777" w:rsidR="00532248" w:rsidRDefault="00532248" w:rsidP="00BD224E">
            <w:pPr>
              <w:pStyle w:val="NormaleWeb"/>
              <w:jc w:val="center"/>
            </w:pPr>
            <w:r>
              <w:t>Hazard ratio</w:t>
            </w:r>
          </w:p>
        </w:tc>
        <w:tc>
          <w:tcPr>
            <w:tcW w:w="2349" w:type="dxa"/>
          </w:tcPr>
          <w:p w14:paraId="4BDEB6E0" w14:textId="77777777" w:rsidR="00532248" w:rsidRDefault="00532248" w:rsidP="00BD224E">
            <w:pPr>
              <w:pStyle w:val="NormaleWeb"/>
              <w:jc w:val="center"/>
            </w:pPr>
            <w:r>
              <w:t>95% CI</w:t>
            </w:r>
          </w:p>
        </w:tc>
        <w:tc>
          <w:tcPr>
            <w:tcW w:w="2349" w:type="dxa"/>
          </w:tcPr>
          <w:p w14:paraId="3A1A8B8A" w14:textId="77777777" w:rsidR="00532248" w:rsidRDefault="00532248" w:rsidP="00BD224E">
            <w:pPr>
              <w:pStyle w:val="NormaleWeb"/>
              <w:jc w:val="center"/>
            </w:pPr>
            <w:r>
              <w:t>P value</w:t>
            </w:r>
          </w:p>
        </w:tc>
      </w:tr>
      <w:tr w:rsidR="00532248" w14:paraId="6CFD637A" w14:textId="77777777" w:rsidTr="00BD224E">
        <w:tc>
          <w:tcPr>
            <w:tcW w:w="2348" w:type="dxa"/>
          </w:tcPr>
          <w:p w14:paraId="5987B6AB" w14:textId="349B5765" w:rsidR="00532248" w:rsidRDefault="000C0383" w:rsidP="00BD224E">
            <w:pPr>
              <w:pStyle w:val="NormaleWeb"/>
              <w:jc w:val="center"/>
            </w:pPr>
            <w:r>
              <w:t>0</w:t>
            </w:r>
            <w:r w:rsidR="00532248">
              <w:t>-60 days</w:t>
            </w:r>
          </w:p>
        </w:tc>
        <w:tc>
          <w:tcPr>
            <w:tcW w:w="2348" w:type="dxa"/>
          </w:tcPr>
          <w:p w14:paraId="467797F6" w14:textId="470EF86D" w:rsidR="00532248" w:rsidRDefault="00532248" w:rsidP="00BD224E">
            <w:pPr>
              <w:pStyle w:val="NormaleWeb"/>
              <w:jc w:val="center"/>
            </w:pPr>
            <w:r>
              <w:t>0.5</w:t>
            </w:r>
            <w:r w:rsidR="004C13B0">
              <w:t>0</w:t>
            </w:r>
          </w:p>
        </w:tc>
        <w:tc>
          <w:tcPr>
            <w:tcW w:w="2349" w:type="dxa"/>
          </w:tcPr>
          <w:p w14:paraId="750D8A09" w14:textId="77777777" w:rsidR="00532248" w:rsidRDefault="00532248" w:rsidP="00BD224E">
            <w:pPr>
              <w:pStyle w:val="NormaleWeb"/>
              <w:jc w:val="center"/>
            </w:pPr>
            <w:r>
              <w:t>0.045-5.514</w:t>
            </w:r>
          </w:p>
        </w:tc>
        <w:tc>
          <w:tcPr>
            <w:tcW w:w="2349" w:type="dxa"/>
          </w:tcPr>
          <w:p w14:paraId="23757B06" w14:textId="77777777" w:rsidR="00532248" w:rsidRDefault="00532248" w:rsidP="00BD224E">
            <w:pPr>
              <w:pStyle w:val="NormaleWeb"/>
              <w:jc w:val="center"/>
            </w:pPr>
            <w:r>
              <w:t>0.5715</w:t>
            </w:r>
          </w:p>
        </w:tc>
      </w:tr>
      <w:tr w:rsidR="00532248" w14:paraId="0E65290C" w14:textId="77777777" w:rsidTr="00BD224E">
        <w:tc>
          <w:tcPr>
            <w:tcW w:w="2348" w:type="dxa"/>
          </w:tcPr>
          <w:p w14:paraId="4FDE3867" w14:textId="77777777" w:rsidR="00532248" w:rsidRDefault="00532248" w:rsidP="00BD224E">
            <w:pPr>
              <w:pStyle w:val="NormaleWeb"/>
              <w:jc w:val="center"/>
            </w:pPr>
            <w:r>
              <w:t>61-90 days</w:t>
            </w:r>
          </w:p>
        </w:tc>
        <w:tc>
          <w:tcPr>
            <w:tcW w:w="2348" w:type="dxa"/>
          </w:tcPr>
          <w:p w14:paraId="1B26B5A4" w14:textId="7C4B8667" w:rsidR="00532248" w:rsidRDefault="00532248" w:rsidP="00BD224E">
            <w:pPr>
              <w:pStyle w:val="NormaleWeb"/>
              <w:jc w:val="center"/>
            </w:pPr>
            <w:r>
              <w:t>0.5</w:t>
            </w:r>
            <w:r w:rsidR="004C13B0">
              <w:t>0</w:t>
            </w:r>
          </w:p>
        </w:tc>
        <w:tc>
          <w:tcPr>
            <w:tcW w:w="2349" w:type="dxa"/>
          </w:tcPr>
          <w:p w14:paraId="37130F79" w14:textId="77777777" w:rsidR="00532248" w:rsidRDefault="00532248" w:rsidP="00BD224E">
            <w:pPr>
              <w:pStyle w:val="NormaleWeb"/>
              <w:jc w:val="center"/>
            </w:pPr>
            <w:r>
              <w:t>0.09-2.73</w:t>
            </w:r>
          </w:p>
        </w:tc>
        <w:tc>
          <w:tcPr>
            <w:tcW w:w="2349" w:type="dxa"/>
          </w:tcPr>
          <w:p w14:paraId="714565F4" w14:textId="77777777" w:rsidR="00532248" w:rsidRDefault="00532248" w:rsidP="00BD224E">
            <w:pPr>
              <w:pStyle w:val="NormaleWeb"/>
              <w:jc w:val="center"/>
            </w:pPr>
            <w:r>
              <w:t>0.4236</w:t>
            </w:r>
          </w:p>
        </w:tc>
      </w:tr>
      <w:tr w:rsidR="00532248" w14:paraId="0A0C07F2" w14:textId="77777777" w:rsidTr="00BD224E">
        <w:tc>
          <w:tcPr>
            <w:tcW w:w="2348" w:type="dxa"/>
          </w:tcPr>
          <w:p w14:paraId="59E457F2" w14:textId="77777777" w:rsidR="00532248" w:rsidRDefault="00532248" w:rsidP="00BD224E">
            <w:pPr>
              <w:pStyle w:val="NormaleWeb"/>
              <w:jc w:val="center"/>
            </w:pPr>
            <w:r>
              <w:t>91-120 days</w:t>
            </w:r>
          </w:p>
        </w:tc>
        <w:tc>
          <w:tcPr>
            <w:tcW w:w="2348" w:type="dxa"/>
          </w:tcPr>
          <w:p w14:paraId="280ECDA9" w14:textId="78701826" w:rsidR="00532248" w:rsidRDefault="00532248" w:rsidP="00BD224E">
            <w:pPr>
              <w:pStyle w:val="NormaleWeb"/>
              <w:jc w:val="center"/>
            </w:pPr>
            <w:r>
              <w:t>0.4</w:t>
            </w:r>
            <w:r w:rsidR="004C13B0">
              <w:t>0</w:t>
            </w:r>
          </w:p>
        </w:tc>
        <w:tc>
          <w:tcPr>
            <w:tcW w:w="2349" w:type="dxa"/>
          </w:tcPr>
          <w:p w14:paraId="5AF491B4" w14:textId="77777777" w:rsidR="00532248" w:rsidRDefault="00532248" w:rsidP="00BD224E">
            <w:pPr>
              <w:pStyle w:val="NormaleWeb"/>
              <w:jc w:val="center"/>
            </w:pPr>
            <w:r>
              <w:t>0.08-2.06</w:t>
            </w:r>
          </w:p>
        </w:tc>
        <w:tc>
          <w:tcPr>
            <w:tcW w:w="2349" w:type="dxa"/>
          </w:tcPr>
          <w:p w14:paraId="738680E7" w14:textId="77777777" w:rsidR="00532248" w:rsidRPr="00D63A46" w:rsidRDefault="00532248" w:rsidP="00BD224E">
            <w:pPr>
              <w:pStyle w:val="NormaleWeb"/>
              <w:jc w:val="center"/>
            </w:pPr>
            <w:r w:rsidRPr="00D63A46">
              <w:t>0.2734</w:t>
            </w:r>
          </w:p>
        </w:tc>
      </w:tr>
      <w:tr w:rsidR="00532248" w14:paraId="392816C4" w14:textId="77777777" w:rsidTr="00BD224E">
        <w:tc>
          <w:tcPr>
            <w:tcW w:w="2348" w:type="dxa"/>
          </w:tcPr>
          <w:p w14:paraId="0A99834B" w14:textId="77777777" w:rsidR="00532248" w:rsidRDefault="00532248" w:rsidP="00BD224E">
            <w:pPr>
              <w:pStyle w:val="NormaleWeb"/>
              <w:jc w:val="center"/>
            </w:pPr>
            <w:r>
              <w:t>61-120 days</w:t>
            </w:r>
          </w:p>
        </w:tc>
        <w:tc>
          <w:tcPr>
            <w:tcW w:w="2348" w:type="dxa"/>
          </w:tcPr>
          <w:p w14:paraId="3E4E8673" w14:textId="77777777" w:rsidR="00532248" w:rsidRPr="00D63A46" w:rsidRDefault="00532248" w:rsidP="00BD224E">
            <w:pPr>
              <w:pStyle w:val="NormaleWeb"/>
              <w:jc w:val="center"/>
            </w:pPr>
            <w:r w:rsidRPr="00D63A46">
              <w:t>0.29</w:t>
            </w:r>
          </w:p>
        </w:tc>
        <w:tc>
          <w:tcPr>
            <w:tcW w:w="2349" w:type="dxa"/>
          </w:tcPr>
          <w:p w14:paraId="6588B813" w14:textId="77777777" w:rsidR="00532248" w:rsidRPr="00D63A46" w:rsidRDefault="00532248" w:rsidP="00BD224E">
            <w:pPr>
              <w:pStyle w:val="NormaleWeb"/>
              <w:jc w:val="center"/>
            </w:pPr>
            <w:r w:rsidRPr="00D63A46">
              <w:t>0.06-1.38</w:t>
            </w:r>
          </w:p>
        </w:tc>
        <w:tc>
          <w:tcPr>
            <w:tcW w:w="2349" w:type="dxa"/>
          </w:tcPr>
          <w:p w14:paraId="490AA9FC" w14:textId="77777777" w:rsidR="00532248" w:rsidRPr="00D63A46" w:rsidRDefault="00532248" w:rsidP="00BD224E">
            <w:pPr>
              <w:pStyle w:val="NormaleWeb"/>
              <w:jc w:val="center"/>
            </w:pPr>
            <w:r w:rsidRPr="00D63A46">
              <w:t>0.1182</w:t>
            </w:r>
          </w:p>
        </w:tc>
      </w:tr>
    </w:tbl>
    <w:p w14:paraId="5205DB49" w14:textId="2FF3CB55" w:rsidR="00532248" w:rsidRPr="00532248" w:rsidRDefault="00532248" w:rsidP="00532248">
      <w:pPr>
        <w:pStyle w:val="NormaleWeb"/>
        <w:shd w:val="clear" w:color="auto" w:fill="FFFFFF"/>
        <w:rPr>
          <w:bCs/>
        </w:rPr>
      </w:pPr>
      <w:r w:rsidRPr="00B84639">
        <w:rPr>
          <w:b/>
        </w:rPr>
        <w:t xml:space="preserve">Table 2. </w:t>
      </w:r>
      <w:r w:rsidRPr="00B84639">
        <w:rPr>
          <w:bCs/>
        </w:rPr>
        <w:t>Summary of the Case-crossover analysis</w:t>
      </w:r>
    </w:p>
    <w:p w14:paraId="59E7FCE8" w14:textId="428E4522" w:rsidR="0088513A" w:rsidRPr="0088513A" w:rsidRDefault="0088513A" w:rsidP="00532248">
      <w:pPr>
        <w:pStyle w:val="Titolo1"/>
        <w:numPr>
          <w:ilvl w:val="0"/>
          <w:numId w:val="0"/>
        </w:numPr>
      </w:pPr>
      <w:r w:rsidRPr="0088513A">
        <w:t>Data Availability Statement</w:t>
      </w:r>
    </w:p>
    <w:p w14:paraId="33DE3510" w14:textId="7B22DE95" w:rsidR="0088513A" w:rsidRPr="0088513A" w:rsidRDefault="0088513A" w:rsidP="006B2D5B">
      <w:pPr>
        <w:rPr>
          <w:rFonts w:cs="Times New Roman"/>
          <w:szCs w:val="24"/>
        </w:rPr>
      </w:pPr>
      <w:r>
        <w:rPr>
          <w:rFonts w:cs="Times New Roman"/>
          <w:szCs w:val="24"/>
        </w:rPr>
        <w:t xml:space="preserve">The datasets [GENERATED/ANALYZED] for this study can </w:t>
      </w:r>
      <w:r w:rsidR="0010501F">
        <w:rPr>
          <w:rFonts w:cs="Times New Roman"/>
          <w:szCs w:val="24"/>
        </w:rPr>
        <w:t>be provided upon request.</w:t>
      </w:r>
    </w:p>
    <w:sectPr w:rsidR="0088513A" w:rsidRPr="0088513A" w:rsidSect="00D537FA">
      <w:headerReference w:type="even" r:id="rId10"/>
      <w:headerReference w:type="default" r:id="rId11"/>
      <w:footerReference w:type="even" r:id="rId12"/>
      <w:footerReference w:type="default" r:id="rId13"/>
      <w:headerReference w:type="first" r:id="rId14"/>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260A3" w14:textId="77777777" w:rsidR="00E90249" w:rsidRDefault="00E90249" w:rsidP="00117666">
      <w:pPr>
        <w:spacing w:after="0"/>
      </w:pPr>
      <w:r>
        <w:separator/>
      </w:r>
    </w:p>
  </w:endnote>
  <w:endnote w:type="continuationSeparator" w:id="0">
    <w:p w14:paraId="516383A7" w14:textId="77777777" w:rsidR="00E90249" w:rsidRDefault="00E9024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D3D87" w14:textId="77777777" w:rsidR="00686C9D" w:rsidRPr="00577C4C" w:rsidRDefault="00C52A7B">
    <w:pPr>
      <w:pStyle w:val="Pidipagina"/>
      <w:rPr>
        <w:color w:val="C00000"/>
        <w:szCs w:val="24"/>
      </w:rPr>
    </w:pPr>
    <w:r w:rsidRPr="00577C4C">
      <w:rPr>
        <w:noProof/>
        <w:color w:val="C00000"/>
        <w:szCs w:val="24"/>
        <w:lang w:val="en-GB" w:eastAsia="en-GB"/>
      </w:rPr>
      <mc:AlternateContent>
        <mc:Choice Requires="wps">
          <w:drawing>
            <wp:anchor distT="0" distB="0" distL="114300" distR="114300" simplePos="0" relativeHeight="251683840" behindDoc="0" locked="0" layoutInCell="1" allowOverlap="1" wp14:anchorId="31D8D0F9" wp14:editId="65D5B02E">
              <wp:simplePos x="0" y="0"/>
              <wp:positionH relativeFrom="column">
                <wp:posOffset>-108280</wp:posOffset>
              </wp:positionH>
              <wp:positionV relativeFrom="paragraph">
                <wp:posOffset>-58420</wp:posOffset>
              </wp:positionV>
              <wp:extent cx="3672231" cy="1403985"/>
              <wp:effectExtent l="0" t="0" r="444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231" cy="1403985"/>
                      </a:xfrm>
                      <a:prstGeom prst="rect">
                        <a:avLst/>
                      </a:prstGeom>
                      <a:solidFill>
                        <a:srgbClr val="FFFFFF"/>
                      </a:solidFill>
                      <a:ln w="9525">
                        <a:noFill/>
                        <a:miter lim="800000"/>
                        <a:headEnd/>
                        <a:tailEnd/>
                      </a:ln>
                    </wps:spPr>
                    <wps:txbx>
                      <w:txbxContent>
                        <w:p w14:paraId="462EE841" w14:textId="77777777" w:rsidR="00686C9D" w:rsidRPr="00E9561B" w:rsidRDefault="00C52A7B">
                          <w:pPr>
                            <w:rPr>
                              <w:color w:val="C00000"/>
                            </w:rPr>
                          </w:pPr>
                          <w:r w:rsidRPr="00E9561B">
                            <w:rPr>
                              <w:color w:val="C00000"/>
                            </w:rPr>
                            <w:t>This is a provisional file, not the final typeset article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http://schemas.microsoft.com/office/word/2018/wordml" xmlns:w16cex="http://schemas.microsoft.com/office/word/2018/wordml/cex">
          <w:pict>
            <v:shapetype w14:anchorId="31D8D0F9" id="_x0000_t202" coordsize="21600,21600" o:spt="202" path="m,l,21600r21600,l21600,xe">
              <v:stroke joinstyle="miter"/>
              <v:path gradientshapeok="t" o:connecttype="rect"/>
            </v:shapetype>
            <v:shape id="Text Box 2" o:spid="_x0000_s1026" type="#_x0000_t202" style="position:absolute;margin-left:-8.55pt;margin-top:-4.6pt;width:289.15pt;height:110.55pt;z-index:2516838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" stroked="f">
              <v:textbox style="mso-fit-shape-to-text:t">
                <w:txbxContent>
                  <w:p w14:paraId="462EE841" w14:textId="77777777" w:rsidR="00686C9D" w:rsidRPr="00E9561B" w:rsidRDefault="00C52A7B">
                    <w:pPr>
                      <w:rPr>
                        <w:color w:val="C00000"/>
                      </w:rPr>
                    </w:pPr>
                    <w:r w:rsidRPr="00E9561B">
                      <w:rPr>
                        <w:color w:val="C00000"/>
                      </w:rPr>
                      <w:t>This is a provisional file, not the final typeset article</w:t>
                    </w:r>
                  </w:p>
                </w:txbxContent>
              </v:textbox>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51D4B8BD" wp14:editId="68C0174E">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Pidipa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 w14:anchorId="51D4B8BD" id="Text Box 1" o:spid="_x0000_s1027"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70BFF2" w14:textId="77777777" w:rsidR="00686C9D" w:rsidRPr="00577C4C" w:rsidRDefault="00C52A7B">
    <w:pPr>
      <w:pStyle w:val="Pidipagina"/>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Pidipagina"/>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2C4AF3B6" id="_x0000_t202" coordsize="21600,21600" o:spt="202" path="m,l,21600r21600,l21600,xe">
              <v:stroke joinstyle="miter"/>
              <v:path gradientshapeok="t" o:connecttype="rect"/>
            </v:shapetype>
            <v:shape id="Text Box 56" o:spid="_x0000_s1028"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170B63" w14:textId="77777777" w:rsidR="00E90249" w:rsidRDefault="00E90249" w:rsidP="00117666">
      <w:pPr>
        <w:spacing w:after="0"/>
      </w:pPr>
      <w:r>
        <w:separator/>
      </w:r>
    </w:p>
  </w:footnote>
  <w:footnote w:type="continuationSeparator" w:id="0">
    <w:p w14:paraId="2A56DE6B" w14:textId="77777777" w:rsidR="00E90249" w:rsidRDefault="00E9024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13A34" w14:textId="77777777" w:rsidR="00686C9D" w:rsidRPr="007E3148" w:rsidRDefault="00C52A7B" w:rsidP="00A53000">
    <w:pPr>
      <w:pStyle w:val="Intestazione"/>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D8A4BC" w14:textId="77777777" w:rsidR="00686C9D" w:rsidRPr="00A53000" w:rsidRDefault="00C52A7B" w:rsidP="00A53000">
    <w:pPr>
      <w:pStyle w:val="Intestazione"/>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F27F1" w14:textId="77777777" w:rsidR="00686C9D" w:rsidRDefault="005A1D84" w:rsidP="00A53000">
    <w:pPr>
      <w:pStyle w:val="Intestazione"/>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pStyle w:val="Titolo1"/>
      <w:lvlText w:val="%1"/>
      <w:lvlJc w:val="left"/>
      <w:pPr>
        <w:tabs>
          <w:tab w:val="num" w:pos="567"/>
        </w:tabs>
        <w:ind w:left="567" w:hanging="567"/>
      </w:pPr>
      <w:rPr>
        <w:rFonts w:hint="default"/>
      </w:rPr>
    </w:lvl>
    <w:lvl w:ilvl="1">
      <w:start w:val="1"/>
      <w:numFmt w:val="decimal"/>
      <w:pStyle w:val="Titolo2"/>
      <w:lvlText w:val="%1.%2"/>
      <w:lvlJc w:val="left"/>
      <w:pPr>
        <w:tabs>
          <w:tab w:val="num" w:pos="567"/>
        </w:tabs>
        <w:ind w:left="567" w:hanging="567"/>
      </w:pPr>
      <w:rPr>
        <w:rFonts w:hint="default"/>
      </w:rPr>
    </w:lvl>
    <w:lvl w:ilvl="2">
      <w:start w:val="1"/>
      <w:numFmt w:val="decimal"/>
      <w:pStyle w:val="Titolo3"/>
      <w:lvlText w:val="%1.%2.%3"/>
      <w:lvlJc w:val="left"/>
      <w:pPr>
        <w:tabs>
          <w:tab w:val="num" w:pos="567"/>
        </w:tabs>
        <w:ind w:left="567" w:hanging="567"/>
      </w:pPr>
      <w:rPr>
        <w:rFonts w:hint="default"/>
      </w:rPr>
    </w:lvl>
    <w:lvl w:ilvl="3">
      <w:start w:val="1"/>
      <w:numFmt w:val="decimal"/>
      <w:pStyle w:val="Titolo4"/>
      <w:lvlText w:val="%1.%2.%3.%4"/>
      <w:lvlJc w:val="left"/>
      <w:pPr>
        <w:tabs>
          <w:tab w:val="num" w:pos="567"/>
        </w:tabs>
        <w:ind w:left="567" w:hanging="567"/>
      </w:pPr>
      <w:rPr>
        <w:rFonts w:hint="default"/>
      </w:rPr>
    </w:lvl>
    <w:lvl w:ilvl="4">
      <w:start w:val="1"/>
      <w:numFmt w:val="decimal"/>
      <w:pStyle w:val="Titolo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Paragrafoelenco"/>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77F4579"/>
    <w:multiLevelType w:val="multilevel"/>
    <w:tmpl w:val="F8522D98"/>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C6F29"/>
    <w:multiLevelType w:val="multilevel"/>
    <w:tmpl w:val="C6A8CCEA"/>
    <w:numStyleLink w:val="Headings"/>
  </w:abstractNum>
  <w:abstractNum w:abstractNumId="18"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4"/>
  </w:num>
  <w:num w:numId="3">
    <w:abstractNumId w:val="1"/>
  </w:num>
  <w:num w:numId="4">
    <w:abstractNumId w:val="16"/>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num>
  <w:num w:numId="7">
    <w:abstractNumId w:val="9"/>
  </w:num>
  <w:num w:numId="8">
    <w:abstractNumId w:val="6"/>
  </w:num>
  <w:num w:numId="9">
    <w:abstractNumId w:val="10"/>
  </w:num>
  <w:num w:numId="10">
    <w:abstractNumId w:val="8"/>
  </w:num>
  <w:num w:numId="11">
    <w:abstractNumId w:val="2"/>
  </w:num>
  <w:num w:numId="12">
    <w:abstractNumId w:val="18"/>
  </w:num>
  <w:num w:numId="13">
    <w:abstractNumId w:val="13"/>
  </w:num>
  <w:num w:numId="14">
    <w:abstractNumId w:val="4"/>
  </w:num>
  <w:num w:numId="15">
    <w:abstractNumId w:val="12"/>
  </w:num>
  <w:num w:numId="16">
    <w:abstractNumId w:val="15"/>
  </w:num>
  <w:num w:numId="17">
    <w:abstractNumId w:val="3"/>
    <w:lvlOverride w:ilvl="0">
      <w:lvl w:ilvl="0">
        <w:start w:val="1"/>
        <w:numFmt w:val="decimal"/>
        <w:pStyle w:val="Titolo1"/>
        <w:lvlText w:val="%1"/>
        <w:lvlJc w:val="left"/>
        <w:pPr>
          <w:tabs>
            <w:tab w:val="num" w:pos="567"/>
          </w:tabs>
          <w:ind w:left="567" w:hanging="567"/>
        </w:pPr>
        <w:rPr>
          <w:rFonts w:hint="default"/>
        </w:rPr>
      </w:lvl>
    </w:lvlOverride>
    <w:lvlOverride w:ilvl="1">
      <w:lvl w:ilvl="1">
        <w:start w:val="1"/>
        <w:numFmt w:val="decimal"/>
        <w:pStyle w:val="Titolo2"/>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7"/>
  </w:num>
  <w:num w:numId="21">
    <w:abstractNumId w:val="3"/>
  </w:num>
  <w:num w:numId="22">
    <w:abstractNumId w:val="3"/>
    <w:lvlOverride w:ilvl="0">
      <w:startOverride w:val="1"/>
      <w:lvl w:ilvl="0">
        <w:start w:val="1"/>
        <w:numFmt w:val="decimal"/>
        <w:pStyle w:val="Titolo1"/>
        <w:lvlText w:val="%1"/>
        <w:lvlJc w:val="left"/>
        <w:pPr>
          <w:tabs>
            <w:tab w:val="num" w:pos="567"/>
          </w:tabs>
          <w:ind w:left="567" w:hanging="567"/>
        </w:pPr>
      </w:lvl>
    </w:lvlOverride>
    <w:lvlOverride w:ilvl="1">
      <w:startOverride w:val="1"/>
      <w:lvl w:ilvl="1">
        <w:start w:val="1"/>
        <w:numFmt w:val="decimal"/>
        <w:pStyle w:val="Titolo2"/>
        <w:lvlText w:val="%1.%2"/>
        <w:lvlJc w:val="left"/>
        <w:pPr>
          <w:tabs>
            <w:tab w:val="num" w:pos="567"/>
          </w:tabs>
          <w:ind w:left="567" w:hanging="567"/>
        </w:pPr>
      </w:lvl>
    </w:lvlOverride>
    <w:lvlOverride w:ilvl="2">
      <w:startOverride w:val="1"/>
      <w:lvl w:ilvl="2">
        <w:start w:val="1"/>
        <w:numFmt w:val="decimal"/>
        <w:pStyle w:val="Titolo3"/>
        <w:lvlText w:val=""/>
        <w:lvlJc w:val="left"/>
      </w:lvl>
    </w:lvlOverride>
    <w:lvlOverride w:ilvl="3">
      <w:startOverride w:val="1"/>
      <w:lvl w:ilvl="3">
        <w:start w:val="1"/>
        <w:numFmt w:val="decimal"/>
        <w:pStyle w:val="Titolo4"/>
        <w:lvlText w:val=""/>
        <w:lvlJc w:val="left"/>
      </w:lvl>
    </w:lvlOverride>
    <w:lvlOverride w:ilvl="4">
      <w:startOverride w:val="1"/>
      <w:lvl w:ilvl="4">
        <w:start w:val="1"/>
        <w:numFmt w:val="decimal"/>
        <w:pStyle w:val="Titolo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 w:numId="23">
    <w:abstractNumId w:val="3"/>
    <w:lvlOverride w:ilvl="0">
      <w:lvl w:ilvl="0">
        <w:start w:val="1"/>
        <w:numFmt w:val="decimal"/>
        <w:pStyle w:val="Titolo1"/>
        <w:lvlText w:val="%1"/>
        <w:lvlJc w:val="left"/>
        <w:pPr>
          <w:tabs>
            <w:tab w:val="num" w:pos="567"/>
          </w:tabs>
          <w:ind w:left="567" w:hanging="567"/>
        </w:pPr>
        <w:rPr>
          <w:rFonts w:hint="default"/>
        </w:rPr>
      </w:lvl>
    </w:lvlOverride>
    <w:lvlOverride w:ilvl="1">
      <w:lvl w:ilvl="1">
        <w:start w:val="1"/>
        <w:numFmt w:val="decimal"/>
        <w:pStyle w:val="Titolo2"/>
        <w:lvlText w:val="%1.%2"/>
        <w:lvlJc w:val="left"/>
        <w:pPr>
          <w:tabs>
            <w:tab w:val="num" w:pos="567"/>
          </w:tabs>
          <w:ind w:left="567" w:hanging="567"/>
        </w:pPr>
        <w:rPr>
          <w:rFonts w:hint="default"/>
        </w:rPr>
      </w:lvl>
    </w:lvlOverride>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11084"/>
    <w:rsid w:val="000161E2"/>
    <w:rsid w:val="000247F8"/>
    <w:rsid w:val="000264BB"/>
    <w:rsid w:val="00034304"/>
    <w:rsid w:val="00035434"/>
    <w:rsid w:val="00045678"/>
    <w:rsid w:val="000458E4"/>
    <w:rsid w:val="00057676"/>
    <w:rsid w:val="00063D84"/>
    <w:rsid w:val="0006636D"/>
    <w:rsid w:val="00067A9B"/>
    <w:rsid w:val="00077D53"/>
    <w:rsid w:val="00081394"/>
    <w:rsid w:val="000A7813"/>
    <w:rsid w:val="000B34BD"/>
    <w:rsid w:val="000C0383"/>
    <w:rsid w:val="000C7E2A"/>
    <w:rsid w:val="000E1FE3"/>
    <w:rsid w:val="000F4CFB"/>
    <w:rsid w:val="0010501F"/>
    <w:rsid w:val="001104B5"/>
    <w:rsid w:val="00117666"/>
    <w:rsid w:val="001223A7"/>
    <w:rsid w:val="00134256"/>
    <w:rsid w:val="00141780"/>
    <w:rsid w:val="00147395"/>
    <w:rsid w:val="001552C9"/>
    <w:rsid w:val="00177D84"/>
    <w:rsid w:val="001964EF"/>
    <w:rsid w:val="001A718D"/>
    <w:rsid w:val="001B1A2C"/>
    <w:rsid w:val="001D2840"/>
    <w:rsid w:val="001D5C23"/>
    <w:rsid w:val="001F4C07"/>
    <w:rsid w:val="00220AEA"/>
    <w:rsid w:val="00226954"/>
    <w:rsid w:val="002629A3"/>
    <w:rsid w:val="00265660"/>
    <w:rsid w:val="00267D18"/>
    <w:rsid w:val="002868E2"/>
    <w:rsid w:val="002869C3"/>
    <w:rsid w:val="002936E4"/>
    <w:rsid w:val="00296B88"/>
    <w:rsid w:val="00296F6F"/>
    <w:rsid w:val="002C74CA"/>
    <w:rsid w:val="002F744D"/>
    <w:rsid w:val="00300F1C"/>
    <w:rsid w:val="00303DE6"/>
    <w:rsid w:val="00310124"/>
    <w:rsid w:val="003544FB"/>
    <w:rsid w:val="00365D63"/>
    <w:rsid w:val="0036793B"/>
    <w:rsid w:val="00372682"/>
    <w:rsid w:val="00376CC5"/>
    <w:rsid w:val="00380A49"/>
    <w:rsid w:val="0039693B"/>
    <w:rsid w:val="003A24CE"/>
    <w:rsid w:val="003D2F2D"/>
    <w:rsid w:val="003D6679"/>
    <w:rsid w:val="003F14AA"/>
    <w:rsid w:val="004001EB"/>
    <w:rsid w:val="00401590"/>
    <w:rsid w:val="00422C94"/>
    <w:rsid w:val="00456EF4"/>
    <w:rsid w:val="00463E3D"/>
    <w:rsid w:val="004645AE"/>
    <w:rsid w:val="00482B73"/>
    <w:rsid w:val="004A242B"/>
    <w:rsid w:val="004A466B"/>
    <w:rsid w:val="004C13B0"/>
    <w:rsid w:val="004D3E33"/>
    <w:rsid w:val="005250F2"/>
    <w:rsid w:val="00532248"/>
    <w:rsid w:val="00535DD3"/>
    <w:rsid w:val="00575E5F"/>
    <w:rsid w:val="005A1D84"/>
    <w:rsid w:val="005A70EA"/>
    <w:rsid w:val="005C3963"/>
    <w:rsid w:val="005D1840"/>
    <w:rsid w:val="005D35E4"/>
    <w:rsid w:val="005D7910"/>
    <w:rsid w:val="0061395C"/>
    <w:rsid w:val="006205BD"/>
    <w:rsid w:val="0062154F"/>
    <w:rsid w:val="00631A8C"/>
    <w:rsid w:val="006338CC"/>
    <w:rsid w:val="00641AD0"/>
    <w:rsid w:val="00651CA2"/>
    <w:rsid w:val="00653D60"/>
    <w:rsid w:val="00655B5A"/>
    <w:rsid w:val="00660D05"/>
    <w:rsid w:val="00671D9A"/>
    <w:rsid w:val="00673952"/>
    <w:rsid w:val="00681821"/>
    <w:rsid w:val="00686C9D"/>
    <w:rsid w:val="006A3FFC"/>
    <w:rsid w:val="006B2D5B"/>
    <w:rsid w:val="006B7D14"/>
    <w:rsid w:val="006D4A06"/>
    <w:rsid w:val="006D5B93"/>
    <w:rsid w:val="007225D0"/>
    <w:rsid w:val="00725A7D"/>
    <w:rsid w:val="0073085C"/>
    <w:rsid w:val="00733784"/>
    <w:rsid w:val="00746505"/>
    <w:rsid w:val="00790BB3"/>
    <w:rsid w:val="00792043"/>
    <w:rsid w:val="00797EDD"/>
    <w:rsid w:val="007B0322"/>
    <w:rsid w:val="007C0E3F"/>
    <w:rsid w:val="007C206C"/>
    <w:rsid w:val="007C5729"/>
    <w:rsid w:val="007D4016"/>
    <w:rsid w:val="008111E4"/>
    <w:rsid w:val="008124AB"/>
    <w:rsid w:val="0081301C"/>
    <w:rsid w:val="00817DD6"/>
    <w:rsid w:val="008629A9"/>
    <w:rsid w:val="0088513A"/>
    <w:rsid w:val="00893C19"/>
    <w:rsid w:val="008B2972"/>
    <w:rsid w:val="008C5E33"/>
    <w:rsid w:val="008D6C8D"/>
    <w:rsid w:val="008E2B54"/>
    <w:rsid w:val="008E4404"/>
    <w:rsid w:val="008E58C7"/>
    <w:rsid w:val="008F5021"/>
    <w:rsid w:val="00940D4F"/>
    <w:rsid w:val="00943573"/>
    <w:rsid w:val="00950B37"/>
    <w:rsid w:val="00971B61"/>
    <w:rsid w:val="009778ED"/>
    <w:rsid w:val="00980C31"/>
    <w:rsid w:val="0098223F"/>
    <w:rsid w:val="009955FF"/>
    <w:rsid w:val="009D259D"/>
    <w:rsid w:val="00A041FC"/>
    <w:rsid w:val="00A4552D"/>
    <w:rsid w:val="00A50D9D"/>
    <w:rsid w:val="00A53000"/>
    <w:rsid w:val="00A53212"/>
    <w:rsid w:val="00A545C6"/>
    <w:rsid w:val="00A60106"/>
    <w:rsid w:val="00A652D0"/>
    <w:rsid w:val="00A75F87"/>
    <w:rsid w:val="00A80E87"/>
    <w:rsid w:val="00A95D8B"/>
    <w:rsid w:val="00AA5933"/>
    <w:rsid w:val="00AB5513"/>
    <w:rsid w:val="00AC0270"/>
    <w:rsid w:val="00AC3EA3"/>
    <w:rsid w:val="00AC792D"/>
    <w:rsid w:val="00B1231C"/>
    <w:rsid w:val="00B4129D"/>
    <w:rsid w:val="00B657B8"/>
    <w:rsid w:val="00B84920"/>
    <w:rsid w:val="00B8556A"/>
    <w:rsid w:val="00BB6FCF"/>
    <w:rsid w:val="00BD7CD1"/>
    <w:rsid w:val="00C012A3"/>
    <w:rsid w:val="00C16F19"/>
    <w:rsid w:val="00C52A7B"/>
    <w:rsid w:val="00C6324C"/>
    <w:rsid w:val="00C679AA"/>
    <w:rsid w:val="00C70458"/>
    <w:rsid w:val="00C724CF"/>
    <w:rsid w:val="00C75972"/>
    <w:rsid w:val="00C82792"/>
    <w:rsid w:val="00C948FD"/>
    <w:rsid w:val="00C95119"/>
    <w:rsid w:val="00CB43D5"/>
    <w:rsid w:val="00CB57A5"/>
    <w:rsid w:val="00CC76F9"/>
    <w:rsid w:val="00CD066B"/>
    <w:rsid w:val="00CD46E2"/>
    <w:rsid w:val="00D00D0B"/>
    <w:rsid w:val="00D04B69"/>
    <w:rsid w:val="00D537FA"/>
    <w:rsid w:val="00D5547D"/>
    <w:rsid w:val="00D80D99"/>
    <w:rsid w:val="00D916B0"/>
    <w:rsid w:val="00D9503C"/>
    <w:rsid w:val="00DB183D"/>
    <w:rsid w:val="00DD73EF"/>
    <w:rsid w:val="00DE23E8"/>
    <w:rsid w:val="00E0128B"/>
    <w:rsid w:val="00E34714"/>
    <w:rsid w:val="00E45A32"/>
    <w:rsid w:val="00E64E17"/>
    <w:rsid w:val="00E72198"/>
    <w:rsid w:val="00E90249"/>
    <w:rsid w:val="00EA3D3C"/>
    <w:rsid w:val="00EC6ED0"/>
    <w:rsid w:val="00EC7CC3"/>
    <w:rsid w:val="00EF0636"/>
    <w:rsid w:val="00F1329C"/>
    <w:rsid w:val="00F326B5"/>
    <w:rsid w:val="00F46494"/>
    <w:rsid w:val="00F558AB"/>
    <w:rsid w:val="00F61D89"/>
    <w:rsid w:val="00F8600A"/>
    <w:rsid w:val="00F86ABB"/>
    <w:rsid w:val="00FB66DC"/>
    <w:rsid w:val="00FD7648"/>
    <w:rsid w:val="00FE65A0"/>
    <w:rsid w:val="00FF1A75"/>
    <w:rsid w:val="00FF3418"/>
    <w:rsid w:val="00FF6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D80D99"/>
    <w:pPr>
      <w:spacing w:before="120" w:after="240" w:line="240" w:lineRule="auto"/>
    </w:pPr>
    <w:rPr>
      <w:rFonts w:ascii="Times New Roman" w:hAnsi="Times New Roman"/>
      <w:sz w:val="24"/>
    </w:rPr>
  </w:style>
  <w:style w:type="paragraph" w:styleId="Titolo1">
    <w:name w:val="heading 1"/>
    <w:basedOn w:val="Paragrafoelenco"/>
    <w:next w:val="Normale"/>
    <w:link w:val="Titolo1Carattere"/>
    <w:uiPriority w:val="2"/>
    <w:qFormat/>
    <w:rsid w:val="00D80D99"/>
    <w:pPr>
      <w:numPr>
        <w:numId w:val="17"/>
      </w:numPr>
      <w:spacing w:before="240"/>
      <w:contextualSpacing w:val="0"/>
      <w:outlineLvl w:val="0"/>
    </w:pPr>
    <w:rPr>
      <w:b/>
    </w:rPr>
  </w:style>
  <w:style w:type="paragraph" w:styleId="Titolo2">
    <w:name w:val="heading 2"/>
    <w:basedOn w:val="Titolo1"/>
    <w:next w:val="Normale"/>
    <w:link w:val="Titolo2Carattere"/>
    <w:uiPriority w:val="2"/>
    <w:qFormat/>
    <w:rsid w:val="00D80D99"/>
    <w:pPr>
      <w:numPr>
        <w:ilvl w:val="1"/>
      </w:numPr>
      <w:spacing w:after="200"/>
      <w:outlineLvl w:val="1"/>
    </w:pPr>
  </w:style>
  <w:style w:type="paragraph" w:styleId="Titolo3">
    <w:name w:val="heading 3"/>
    <w:basedOn w:val="Normale"/>
    <w:next w:val="Normale"/>
    <w:link w:val="Titolo3Carattere"/>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Titolo4">
    <w:name w:val="heading 4"/>
    <w:basedOn w:val="Titolo3"/>
    <w:next w:val="Normale"/>
    <w:link w:val="Titolo4Carattere"/>
    <w:uiPriority w:val="2"/>
    <w:qFormat/>
    <w:rsid w:val="00D80D99"/>
    <w:pPr>
      <w:numPr>
        <w:ilvl w:val="3"/>
      </w:numPr>
      <w:outlineLvl w:val="3"/>
    </w:pPr>
    <w:rPr>
      <w:iCs/>
    </w:rPr>
  </w:style>
  <w:style w:type="paragraph" w:styleId="Titolo5">
    <w:name w:val="heading 5"/>
    <w:basedOn w:val="Titolo4"/>
    <w:next w:val="Normale"/>
    <w:link w:val="Titolo5Carattere"/>
    <w:uiPriority w:val="2"/>
    <w:qFormat/>
    <w:rsid w:val="00D80D99"/>
    <w:pPr>
      <w:numPr>
        <w:ilvl w:val="4"/>
      </w:numPr>
      <w:outlineLvl w:val="4"/>
    </w:p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2"/>
    <w:rsid w:val="00147395"/>
    <w:rPr>
      <w:rFonts w:ascii="Times New Roman" w:eastAsia="Cambria" w:hAnsi="Times New Roman" w:cs="Times New Roman"/>
      <w:b/>
      <w:sz w:val="24"/>
      <w:szCs w:val="24"/>
    </w:rPr>
  </w:style>
  <w:style w:type="character" w:customStyle="1" w:styleId="Titolo2Carattere">
    <w:name w:val="Titolo 2 Carattere"/>
    <w:basedOn w:val="Carpredefinitoparagrafo"/>
    <w:link w:val="Titolo2"/>
    <w:uiPriority w:val="2"/>
    <w:rsid w:val="00147395"/>
    <w:rPr>
      <w:rFonts w:ascii="Times New Roman" w:eastAsia="Cambria" w:hAnsi="Times New Roman" w:cs="Times New Roman"/>
      <w:b/>
      <w:sz w:val="24"/>
      <w:szCs w:val="24"/>
    </w:rPr>
  </w:style>
  <w:style w:type="character" w:styleId="Enfasicorsivo">
    <w:name w:val="Emphasis"/>
    <w:basedOn w:val="Carpredefinitoparagrafo"/>
    <w:uiPriority w:val="20"/>
    <w:qFormat/>
    <w:rsid w:val="00C724CF"/>
    <w:rPr>
      <w:rFonts w:ascii="Times New Roman" w:hAnsi="Times New Roman"/>
      <w:i/>
      <w:iCs/>
    </w:rPr>
  </w:style>
  <w:style w:type="paragraph" w:styleId="Paragrafoelenco">
    <w:name w:val="List Paragraph"/>
    <w:basedOn w:val="Normale"/>
    <w:uiPriority w:val="3"/>
    <w:qFormat/>
    <w:rsid w:val="00310124"/>
    <w:pPr>
      <w:numPr>
        <w:numId w:val="14"/>
      </w:numPr>
      <w:ind w:left="1434" w:hanging="357"/>
      <w:contextualSpacing/>
    </w:pPr>
    <w:rPr>
      <w:rFonts w:eastAsia="Cambria" w:cs="Times New Roman"/>
      <w:szCs w:val="24"/>
    </w:rPr>
  </w:style>
  <w:style w:type="character" w:styleId="Enfasigrassetto">
    <w:name w:val="Strong"/>
    <w:basedOn w:val="Carpredefinitoparagrafo"/>
    <w:uiPriority w:val="22"/>
    <w:qFormat/>
    <w:rsid w:val="00C724CF"/>
    <w:rPr>
      <w:rFonts w:ascii="Times New Roman" w:hAnsi="Times New Roman"/>
      <w:b/>
      <w:bCs/>
    </w:rPr>
  </w:style>
  <w:style w:type="paragraph" w:styleId="NormaleWeb">
    <w:name w:val="Normal (Web)"/>
    <w:basedOn w:val="Normale"/>
    <w:uiPriority w:val="99"/>
    <w:unhideWhenUsed/>
    <w:rsid w:val="00117666"/>
    <w:pPr>
      <w:spacing w:before="100" w:beforeAutospacing="1" w:after="100" w:afterAutospacing="1"/>
    </w:pPr>
    <w:rPr>
      <w:rFonts w:eastAsia="Times New Roman" w:cs="Times New Roman"/>
      <w:szCs w:val="24"/>
    </w:rPr>
  </w:style>
  <w:style w:type="paragraph" w:styleId="Intestazione">
    <w:name w:val="header"/>
    <w:basedOn w:val="Normale"/>
    <w:link w:val="IntestazioneCarattere"/>
    <w:uiPriority w:val="99"/>
    <w:unhideWhenUsed/>
    <w:rsid w:val="00A53000"/>
    <w:pPr>
      <w:tabs>
        <w:tab w:val="center" w:pos="4844"/>
        <w:tab w:val="right" w:pos="9689"/>
      </w:tabs>
    </w:pPr>
    <w:rPr>
      <w:b/>
    </w:rPr>
  </w:style>
  <w:style w:type="character" w:customStyle="1" w:styleId="IntestazioneCarattere">
    <w:name w:val="Intestazione Carattere"/>
    <w:basedOn w:val="Carpredefinitoparagrafo"/>
    <w:link w:val="Intestazione"/>
    <w:uiPriority w:val="99"/>
    <w:rsid w:val="00A53000"/>
    <w:rPr>
      <w:rFonts w:ascii="Times New Roman" w:hAnsi="Times New Roman"/>
      <w:b/>
      <w:sz w:val="24"/>
    </w:rPr>
  </w:style>
  <w:style w:type="paragraph" w:styleId="Pidipagina">
    <w:name w:val="footer"/>
    <w:basedOn w:val="Normale"/>
    <w:link w:val="PidipaginaCarattere"/>
    <w:uiPriority w:val="99"/>
    <w:unhideWhenUsed/>
    <w:rsid w:val="00117666"/>
    <w:pPr>
      <w:tabs>
        <w:tab w:val="center" w:pos="4844"/>
        <w:tab w:val="right" w:pos="9689"/>
      </w:tabs>
      <w:spacing w:after="0"/>
    </w:pPr>
  </w:style>
  <w:style w:type="character" w:customStyle="1" w:styleId="PidipaginaCarattere">
    <w:name w:val="Piè di pagina Carattere"/>
    <w:basedOn w:val="Carpredefinitoparagrafo"/>
    <w:link w:val="Pidipagina"/>
    <w:uiPriority w:val="99"/>
    <w:rsid w:val="00117666"/>
  </w:style>
  <w:style w:type="table" w:styleId="Grigliatabella">
    <w:name w:val="Table Grid"/>
    <w:basedOn w:val="Tabellanormale"/>
    <w:uiPriority w:val="3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stonotaapidipagina">
    <w:name w:val="footnote text"/>
    <w:basedOn w:val="Normale"/>
    <w:link w:val="TestonotaapidipaginaCarattere"/>
    <w:uiPriority w:val="99"/>
    <w:semiHidden/>
    <w:unhideWhenUsed/>
    <w:rsid w:val="00117666"/>
    <w:pPr>
      <w:spacing w:after="0"/>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117666"/>
    <w:rPr>
      <w:sz w:val="20"/>
      <w:szCs w:val="20"/>
    </w:rPr>
  </w:style>
  <w:style w:type="character" w:styleId="Rimandonotaapidipagina">
    <w:name w:val="footnote reference"/>
    <w:basedOn w:val="Carpredefinitoparagrafo"/>
    <w:uiPriority w:val="99"/>
    <w:semiHidden/>
    <w:unhideWhenUsed/>
    <w:rsid w:val="00117666"/>
    <w:rPr>
      <w:vertAlign w:val="superscript"/>
    </w:rPr>
  </w:style>
  <w:style w:type="paragraph" w:styleId="Didascalia">
    <w:name w:val="caption"/>
    <w:basedOn w:val="Normale"/>
    <w:next w:val="Nessunaspaziatura"/>
    <w:uiPriority w:val="35"/>
    <w:unhideWhenUsed/>
    <w:qFormat/>
    <w:rsid w:val="00A53000"/>
    <w:pPr>
      <w:keepNext/>
    </w:pPr>
    <w:rPr>
      <w:rFonts w:cs="Times New Roman"/>
      <w:b/>
      <w:bCs/>
      <w:szCs w:val="24"/>
    </w:rPr>
  </w:style>
  <w:style w:type="paragraph" w:styleId="Testofumetto">
    <w:name w:val="Balloon Text"/>
    <w:basedOn w:val="Normale"/>
    <w:link w:val="TestofumettoCarattere"/>
    <w:uiPriority w:val="99"/>
    <w:semiHidden/>
    <w:unhideWhenUsed/>
    <w:rsid w:val="00117666"/>
    <w:pPr>
      <w:spacing w:after="0"/>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117666"/>
    <w:rPr>
      <w:rFonts w:ascii="Tahoma" w:hAnsi="Tahoma" w:cs="Tahoma"/>
      <w:sz w:val="16"/>
      <w:szCs w:val="16"/>
    </w:rPr>
  </w:style>
  <w:style w:type="character" w:styleId="Numeroriga">
    <w:name w:val="line number"/>
    <w:basedOn w:val="Carpredefinitoparagrafo"/>
    <w:uiPriority w:val="99"/>
    <w:semiHidden/>
    <w:unhideWhenUsed/>
    <w:rsid w:val="00117666"/>
  </w:style>
  <w:style w:type="paragraph" w:styleId="Testonotadichiusura">
    <w:name w:val="endnote text"/>
    <w:basedOn w:val="Normale"/>
    <w:link w:val="TestonotadichiusuraCarattere"/>
    <w:uiPriority w:val="99"/>
    <w:semiHidden/>
    <w:unhideWhenUsed/>
    <w:rsid w:val="00CD066B"/>
    <w:pPr>
      <w:spacing w:after="0"/>
    </w:pPr>
    <w:rPr>
      <w:sz w:val="20"/>
      <w:szCs w:val="20"/>
    </w:rPr>
  </w:style>
  <w:style w:type="character" w:customStyle="1" w:styleId="TestonotadichiusuraCarattere">
    <w:name w:val="Testo nota di chiusura Carattere"/>
    <w:basedOn w:val="Carpredefinitoparagrafo"/>
    <w:link w:val="Testonotadichiusura"/>
    <w:uiPriority w:val="99"/>
    <w:semiHidden/>
    <w:rsid w:val="00CD066B"/>
    <w:rPr>
      <w:sz w:val="20"/>
      <w:szCs w:val="20"/>
    </w:rPr>
  </w:style>
  <w:style w:type="character" w:styleId="Rimandonotadichiusura">
    <w:name w:val="endnote reference"/>
    <w:basedOn w:val="Carpredefinitoparagrafo"/>
    <w:uiPriority w:val="99"/>
    <w:semiHidden/>
    <w:unhideWhenUsed/>
    <w:rsid w:val="00CD066B"/>
    <w:rPr>
      <w:vertAlign w:val="superscript"/>
    </w:rPr>
  </w:style>
  <w:style w:type="character" w:styleId="Rimandocommento">
    <w:name w:val="annotation reference"/>
    <w:basedOn w:val="Carpredefinitoparagrafo"/>
    <w:uiPriority w:val="99"/>
    <w:semiHidden/>
    <w:unhideWhenUsed/>
    <w:rsid w:val="00725A7D"/>
    <w:rPr>
      <w:sz w:val="16"/>
      <w:szCs w:val="16"/>
    </w:rPr>
  </w:style>
  <w:style w:type="paragraph" w:styleId="Testocommento">
    <w:name w:val="annotation text"/>
    <w:basedOn w:val="Normale"/>
    <w:link w:val="TestocommentoCarattere"/>
    <w:uiPriority w:val="99"/>
    <w:unhideWhenUsed/>
    <w:rsid w:val="00725A7D"/>
    <w:rPr>
      <w:sz w:val="20"/>
      <w:szCs w:val="20"/>
    </w:rPr>
  </w:style>
  <w:style w:type="character" w:customStyle="1" w:styleId="TestocommentoCarattere">
    <w:name w:val="Testo commento Carattere"/>
    <w:basedOn w:val="Carpredefinitoparagrafo"/>
    <w:link w:val="Testocommento"/>
    <w:uiPriority w:val="99"/>
    <w:rsid w:val="00725A7D"/>
    <w:rPr>
      <w:sz w:val="20"/>
      <w:szCs w:val="20"/>
    </w:rPr>
  </w:style>
  <w:style w:type="paragraph" w:styleId="Soggettocommento">
    <w:name w:val="annotation subject"/>
    <w:basedOn w:val="Testocommento"/>
    <w:next w:val="Testocommento"/>
    <w:link w:val="SoggettocommentoCarattere"/>
    <w:uiPriority w:val="99"/>
    <w:semiHidden/>
    <w:unhideWhenUsed/>
    <w:rsid w:val="00725A7D"/>
    <w:rPr>
      <w:b/>
      <w:bCs/>
    </w:rPr>
  </w:style>
  <w:style w:type="character" w:customStyle="1" w:styleId="SoggettocommentoCarattere">
    <w:name w:val="Soggetto commento Carattere"/>
    <w:basedOn w:val="TestocommentoCarattere"/>
    <w:link w:val="Soggettocommento"/>
    <w:uiPriority w:val="99"/>
    <w:semiHidden/>
    <w:rsid w:val="00725A7D"/>
    <w:rPr>
      <w:b/>
      <w:bCs/>
      <w:sz w:val="20"/>
      <w:szCs w:val="20"/>
    </w:rPr>
  </w:style>
  <w:style w:type="character" w:styleId="Collegamentoipertestuale">
    <w:name w:val="Hyperlink"/>
    <w:basedOn w:val="Carpredefinitoparagrafo"/>
    <w:uiPriority w:val="99"/>
    <w:unhideWhenUsed/>
    <w:rsid w:val="005A1D84"/>
    <w:rPr>
      <w:color w:val="0000FF"/>
      <w:u w:val="single"/>
    </w:rPr>
  </w:style>
  <w:style w:type="character" w:styleId="Collegamentovisitato">
    <w:name w:val="FollowedHyperlink"/>
    <w:basedOn w:val="Carpredefinitoparagrafo"/>
    <w:uiPriority w:val="99"/>
    <w:semiHidden/>
    <w:unhideWhenUsed/>
    <w:rsid w:val="006D5B93"/>
    <w:rPr>
      <w:color w:val="800080" w:themeColor="followedHyperlink"/>
      <w:u w:val="single"/>
    </w:rPr>
  </w:style>
  <w:style w:type="paragraph" w:styleId="Titolo">
    <w:name w:val="Title"/>
    <w:basedOn w:val="Normale"/>
    <w:next w:val="Normale"/>
    <w:link w:val="TitoloCarattere"/>
    <w:qFormat/>
    <w:rsid w:val="00D80D99"/>
    <w:pPr>
      <w:suppressLineNumbers/>
      <w:spacing w:before="240" w:after="360"/>
      <w:jc w:val="center"/>
    </w:pPr>
    <w:rPr>
      <w:rFonts w:cs="Times New Roman"/>
      <w:b/>
      <w:sz w:val="32"/>
      <w:szCs w:val="32"/>
    </w:rPr>
  </w:style>
  <w:style w:type="character" w:customStyle="1" w:styleId="TitoloCarattere">
    <w:name w:val="Titolo Carattere"/>
    <w:basedOn w:val="Carpredefinitoparagrafo"/>
    <w:link w:val="Titolo"/>
    <w:rsid w:val="00D80D99"/>
    <w:rPr>
      <w:rFonts w:ascii="Times New Roman" w:hAnsi="Times New Roman" w:cs="Times New Roman"/>
      <w:b/>
      <w:sz w:val="32"/>
      <w:szCs w:val="32"/>
    </w:rPr>
  </w:style>
  <w:style w:type="paragraph" w:styleId="Sottotitolo">
    <w:name w:val="Subtitle"/>
    <w:basedOn w:val="Normale"/>
    <w:next w:val="Normale"/>
    <w:link w:val="SottotitoloCarattere"/>
    <w:uiPriority w:val="99"/>
    <w:unhideWhenUsed/>
    <w:qFormat/>
    <w:rsid w:val="00AC0270"/>
    <w:pPr>
      <w:spacing w:before="240"/>
    </w:pPr>
    <w:rPr>
      <w:rFonts w:cs="Times New Roman"/>
      <w:b/>
      <w:szCs w:val="24"/>
    </w:rPr>
  </w:style>
  <w:style w:type="character" w:customStyle="1" w:styleId="SottotitoloCarattere">
    <w:name w:val="Sottotitolo Carattere"/>
    <w:basedOn w:val="Carpredefinitoparagrafo"/>
    <w:link w:val="Sottotitolo"/>
    <w:uiPriority w:val="99"/>
    <w:rsid w:val="00651CA2"/>
    <w:rPr>
      <w:rFonts w:ascii="Times New Roman" w:hAnsi="Times New Roman" w:cs="Times New Roman"/>
      <w:b/>
      <w:sz w:val="24"/>
      <w:szCs w:val="24"/>
    </w:rPr>
  </w:style>
  <w:style w:type="character" w:customStyle="1" w:styleId="Titolo3Carattere">
    <w:name w:val="Titolo 3 Carattere"/>
    <w:basedOn w:val="Carpredefinitoparagrafo"/>
    <w:link w:val="Titolo3"/>
    <w:uiPriority w:val="2"/>
    <w:rsid w:val="005D1840"/>
    <w:rPr>
      <w:rFonts w:ascii="Times New Roman" w:eastAsiaTheme="majorEastAsia" w:hAnsi="Times New Roman" w:cstheme="majorBidi"/>
      <w:b/>
      <w:sz w:val="24"/>
      <w:szCs w:val="24"/>
    </w:rPr>
  </w:style>
  <w:style w:type="paragraph" w:styleId="Nessunaspaziatura">
    <w:name w:val="No Spacing"/>
    <w:uiPriority w:val="99"/>
    <w:unhideWhenUsed/>
    <w:qFormat/>
    <w:rsid w:val="00A53000"/>
    <w:pPr>
      <w:spacing w:after="0" w:line="240" w:lineRule="auto"/>
    </w:pPr>
    <w:rPr>
      <w:rFonts w:ascii="Times New Roman" w:hAnsi="Times New Roman"/>
      <w:sz w:val="24"/>
    </w:rPr>
  </w:style>
  <w:style w:type="character" w:customStyle="1" w:styleId="Titolo4Carattere">
    <w:name w:val="Titolo 4 Carattere"/>
    <w:basedOn w:val="Carpredefinitoparagrafo"/>
    <w:link w:val="Titolo4"/>
    <w:uiPriority w:val="2"/>
    <w:rsid w:val="005D1840"/>
    <w:rPr>
      <w:rFonts w:ascii="Times New Roman" w:eastAsiaTheme="majorEastAsia" w:hAnsi="Times New Roman" w:cstheme="majorBidi"/>
      <w:b/>
      <w:iCs/>
      <w:sz w:val="24"/>
      <w:szCs w:val="24"/>
    </w:rPr>
  </w:style>
  <w:style w:type="character" w:customStyle="1" w:styleId="Titolo5Carattere">
    <w:name w:val="Titolo 5 Carattere"/>
    <w:basedOn w:val="Carpredefinitoparagrafo"/>
    <w:link w:val="Titolo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ottotitolo"/>
    <w:next w:val="Normale"/>
    <w:uiPriority w:val="1"/>
    <w:qFormat/>
    <w:rsid w:val="00651CA2"/>
  </w:style>
  <w:style w:type="character" w:styleId="Enfasidelicata">
    <w:name w:val="Subtle Emphasis"/>
    <w:basedOn w:val="Carpredefinitoparagrafo"/>
    <w:uiPriority w:val="19"/>
    <w:qFormat/>
    <w:rsid w:val="00C724CF"/>
    <w:rPr>
      <w:rFonts w:ascii="Times New Roman" w:hAnsi="Times New Roman"/>
      <w:i/>
      <w:iCs/>
      <w:color w:val="404040" w:themeColor="text1" w:themeTint="BF"/>
    </w:rPr>
  </w:style>
  <w:style w:type="character" w:styleId="Enfasiintensa">
    <w:name w:val="Intense Emphasis"/>
    <w:basedOn w:val="Carpredefinitoparagrafo"/>
    <w:uiPriority w:val="21"/>
    <w:unhideWhenUsed/>
    <w:rsid w:val="00C724CF"/>
    <w:rPr>
      <w:rFonts w:ascii="Times New Roman" w:hAnsi="Times New Roman"/>
      <w:i/>
      <w:iCs/>
      <w:color w:val="auto"/>
    </w:rPr>
  </w:style>
  <w:style w:type="paragraph" w:styleId="Citazione">
    <w:name w:val="Quote"/>
    <w:basedOn w:val="Normale"/>
    <w:next w:val="Normale"/>
    <w:link w:val="CitazioneCarattere"/>
    <w:uiPriority w:val="29"/>
    <w:qFormat/>
    <w:rsid w:val="00C724CF"/>
    <w:pPr>
      <w:spacing w:before="200" w:after="160"/>
      <w:ind w:left="864" w:right="864"/>
      <w:jc w:val="center"/>
    </w:pPr>
    <w:rPr>
      <w:i/>
      <w:iCs/>
      <w:color w:val="404040" w:themeColor="text1" w:themeTint="BF"/>
    </w:rPr>
  </w:style>
  <w:style w:type="character" w:customStyle="1" w:styleId="CitazioneCarattere">
    <w:name w:val="Citazione Carattere"/>
    <w:basedOn w:val="Carpredefinitoparagrafo"/>
    <w:link w:val="Citazione"/>
    <w:uiPriority w:val="29"/>
    <w:rsid w:val="00C724CF"/>
    <w:rPr>
      <w:rFonts w:ascii="Times New Roman" w:hAnsi="Times New Roman"/>
      <w:i/>
      <w:iCs/>
      <w:color w:val="404040" w:themeColor="text1" w:themeTint="BF"/>
      <w:sz w:val="24"/>
    </w:rPr>
  </w:style>
  <w:style w:type="character" w:styleId="Riferimentointenso">
    <w:name w:val="Intense Reference"/>
    <w:basedOn w:val="Carpredefinitoparagrafo"/>
    <w:uiPriority w:val="32"/>
    <w:qFormat/>
    <w:rsid w:val="00C724CF"/>
    <w:rPr>
      <w:b/>
      <w:bCs/>
      <w:smallCaps/>
      <w:color w:val="auto"/>
      <w:spacing w:val="5"/>
    </w:rPr>
  </w:style>
  <w:style w:type="character" w:styleId="Titolodellibro">
    <w:name w:val="Book Title"/>
    <w:basedOn w:val="Carpredefinitoparagrafo"/>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e">
    <w:name w:val="Revision"/>
    <w:hidden/>
    <w:uiPriority w:val="99"/>
    <w:semiHidden/>
    <w:rsid w:val="00A545C6"/>
    <w:pPr>
      <w:spacing w:after="0" w:line="240" w:lineRule="auto"/>
    </w:pPr>
    <w:rPr>
      <w:rFonts w:ascii="Times New Roman" w:hAnsi="Times New Roman"/>
      <w:sz w:val="24"/>
    </w:rPr>
  </w:style>
  <w:style w:type="character" w:styleId="Menzionenonrisolta">
    <w:name w:val="Unresolved Mention"/>
    <w:basedOn w:val="Carpredefinitoparagrafo"/>
    <w:uiPriority w:val="99"/>
    <w:semiHidden/>
    <w:unhideWhenUsed/>
    <w:rsid w:val="003F14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08299">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37192087">
      <w:bodyDiv w:val="1"/>
      <w:marLeft w:val="0"/>
      <w:marRight w:val="0"/>
      <w:marTop w:val="0"/>
      <w:marBottom w:val="0"/>
      <w:divBdr>
        <w:top w:val="none" w:sz="0" w:space="0" w:color="auto"/>
        <w:left w:val="none" w:sz="0" w:space="0" w:color="auto"/>
        <w:bottom w:val="none" w:sz="0" w:space="0" w:color="auto"/>
        <w:right w:val="none" w:sz="0" w:space="0" w:color="auto"/>
      </w:divBdr>
      <w:divsChild>
        <w:div w:id="1199202795">
          <w:marLeft w:val="0"/>
          <w:marRight w:val="0"/>
          <w:marTop w:val="0"/>
          <w:marBottom w:val="0"/>
          <w:divBdr>
            <w:top w:val="none" w:sz="0" w:space="0" w:color="auto"/>
            <w:left w:val="none" w:sz="0" w:space="0" w:color="auto"/>
            <w:bottom w:val="none" w:sz="0" w:space="0" w:color="auto"/>
            <w:right w:val="none" w:sz="0" w:space="0" w:color="auto"/>
          </w:divBdr>
          <w:divsChild>
            <w:div w:id="153449679">
              <w:marLeft w:val="0"/>
              <w:marRight w:val="0"/>
              <w:marTop w:val="0"/>
              <w:marBottom w:val="0"/>
              <w:divBdr>
                <w:top w:val="none" w:sz="0" w:space="0" w:color="auto"/>
                <w:left w:val="none" w:sz="0" w:space="0" w:color="auto"/>
                <w:bottom w:val="none" w:sz="0" w:space="0" w:color="auto"/>
                <w:right w:val="none" w:sz="0" w:space="0" w:color="auto"/>
              </w:divBdr>
              <w:divsChild>
                <w:div w:id="135831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3756564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202014115">
      <w:bodyDiv w:val="1"/>
      <w:marLeft w:val="0"/>
      <w:marRight w:val="0"/>
      <w:marTop w:val="0"/>
      <w:marBottom w:val="0"/>
      <w:divBdr>
        <w:top w:val="none" w:sz="0" w:space="0" w:color="auto"/>
        <w:left w:val="none" w:sz="0" w:space="0" w:color="auto"/>
        <w:bottom w:val="none" w:sz="0" w:space="0" w:color="auto"/>
        <w:right w:val="none" w:sz="0" w:space="0" w:color="auto"/>
      </w:divBdr>
    </w:div>
    <w:div w:id="1503474892">
      <w:bodyDiv w:val="1"/>
      <w:marLeft w:val="0"/>
      <w:marRight w:val="0"/>
      <w:marTop w:val="0"/>
      <w:marBottom w:val="0"/>
      <w:divBdr>
        <w:top w:val="none" w:sz="0" w:space="0" w:color="auto"/>
        <w:left w:val="none" w:sz="0" w:space="0" w:color="auto"/>
        <w:bottom w:val="none" w:sz="0" w:space="0" w:color="auto"/>
        <w:right w:val="none" w:sz="0" w:space="0" w:color="auto"/>
      </w:divBdr>
    </w:div>
    <w:div w:id="1717655060">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Zanoguera@linneausgroup.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vassarstats.net/ksm.html" TargetMode="External"/><Relationship Id="rId14" Type="http://schemas.openxmlformats.org/officeDocument/2006/relationships/header" Target="header3.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E257FDC6-5CBC-4F96-B8AD-B705284B2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0</TotalTime>
  <Pages>10</Pages>
  <Words>4388</Words>
  <Characters>25018</Characters>
  <Application>Microsoft Office Word</Application>
  <DocSecurity>0</DocSecurity>
  <Lines>208</Lines>
  <Paragraphs>58</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Lala Zanoguera</dc:creator>
  <cp:keywords/>
  <dc:description/>
  <cp:lastModifiedBy>TRANQUILLO VITO</cp:lastModifiedBy>
  <cp:revision>2</cp:revision>
  <cp:lastPrinted>2013-10-03T12:51:00Z</cp:lastPrinted>
  <dcterms:created xsi:type="dcterms:W3CDTF">2022-02-15T14:13:00Z</dcterms:created>
  <dcterms:modified xsi:type="dcterms:W3CDTF">2022-02-15T14:13:00Z</dcterms:modified>
</cp:coreProperties>
</file>