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Size of the lymph node</w:t>
      </w:r>
      <w:r>
        <w:t xml:space="preserve">: Diameter calculated from the area and then standardized in z-score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NGR</w:t>
      </w:r>
      <w:r>
        <w:t xml:space="preserve">: total number of granulomas per lymph node used in the model after logarithmic transformation.</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da cui si può derivare</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 (Burkner).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 Tutz (1990) 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w:t>
      </w:r>
    </w:p>
    <w:p>
      <w:pPr>
        <w:pStyle w:val="BodyText"/>
      </w:pPr>
      <w:r>
        <w:t xml:space="preserve">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r>
        <w:t xml:space="preserve"> </w:t>
      </w:r>
      <w:r>
        <w:t xml:space="preserve">We chose SM because the assumption of the model with respect to the variable outcome is consistent with the histological development of the granulomas.</w:t>
      </w:r>
    </w:p>
    <w:p>
      <w:pPr>
        <w:pStyle w:val="BodyText"/>
      </w:pPr>
      <w:r>
        <w:t xml:space="preserve">The model is further complicated by the hierarchical structure of the data, whereby observations made at the granuloma level are nested under the lymph nodes.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2020-11-08T17:56:58Z</dcterms:created>
  <dcterms:modified xsi:type="dcterms:W3CDTF">2020-11-08T17:56:58Z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