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Bayesian regression models with the aim of identifying which variables among those measured significantly influence the outcomes. We intend this models as descriptive models</w:t>
      </w:r>
      <w:r>
        <w:t xml:space="preserve"> </w:t>
      </w:r>
      <w:r>
        <w:t xml:space="preserve">(Berk</w:t>
      </w:r>
      <w:r>
        <w:t xml:space="preserve"> </w:t>
      </w:r>
      <w:hyperlink w:anchor="ref-berk2010you">
        <w:r>
          <w:rPr>
            <w:rStyle w:val="Hyperlink"/>
          </w:rPr>
          <w:t xml:space="preserve">2010</w:t>
        </w:r>
      </w:hyperlink>
      <w:r>
        <w:t xml:space="preserve">)</w:t>
      </w:r>
      <w:r>
        <w:t xml:space="preserve"> </w:t>
      </w:r>
      <w:r>
        <w:t xml:space="preserve">not aimed at prediction, but for capturing the associations between the dependent and independent variables rather for causal inferences or for prediction.</w:t>
      </w:r>
    </w:p>
    <w:p>
      <w:pPr>
        <w:pStyle w:val="BodyText"/>
      </w:pPr>
      <w:r>
        <w:rPr>
          <w:b/>
        </w:rPr>
        <w:t xml:space="preserve">Bayesian statistics</w:t>
      </w:r>
      <w:r>
        <w:t xml:space="preserve"> </w:t>
      </w:r>
      <w:r>
        <w:t xml:space="preserve">focuses on the posterior distribution</w:t>
      </w:r>
      <w:r>
        <w:t xml:space="preserve"> </w:t>
      </w:r>
      <m:oMath>
        <m:r>
          <m:t>p</m:t>
        </m:r>
        <m:r>
          <m:t>(</m:t>
        </m:r>
        <m:r>
          <m:t>θ</m:t>
        </m:r>
        <m:r>
          <m:t>|</m:t>
        </m:r>
        <m:r>
          <m:t>Y</m:t>
        </m:r>
        <m:r>
          <m:t>)</m:t>
        </m:r>
      </m:oMath>
      <w:r>
        <w:t xml:space="preserve"> </w:t>
      </w:r>
      <w:r>
        <w:t xml:space="preserve">where θ are the model parameters (unknown quantities) and Y are the data (known quantities) to condition on. The posterior distribution is generally computed as</w:t>
      </w:r>
    </w:p>
    <w:p>
      <w:pPr>
        <w:pStyle w:val="BodyText"/>
      </w:pPr>
      <m:oMathPara>
        <m:oMathParaPr>
          <m:jc m:val="center"/>
        </m:oMathParaPr>
        <m:oMath>
          <m:r>
            <m:t>p</m:t>
          </m:r>
          <m:r>
            <m:t>(</m:t>
          </m:r>
          <m:r>
            <m:t>θ</m:t>
          </m:r>
          <m:r>
            <m:t>|</m:t>
          </m:r>
          <m:r>
            <m:t>Y</m:t>
          </m:r>
          <m:r>
            <m:t>)</m:t>
          </m:r>
          <m:r>
            <m:t>=</m:t>
          </m:r>
          <m:f>
            <m:fPr>
              <m:type m:val="bar"/>
            </m:fPr>
            <m:num>
              <m:r>
                <m:t>p</m:t>
              </m:r>
              <m:r>
                <m:t>(</m:t>
              </m:r>
              <m:r>
                <m:t>Y</m:t>
              </m:r>
              <m:r>
                <m:t>|</m:t>
              </m:r>
              <m:r>
                <m:t>θ</m:t>
              </m:r>
              <m:r>
                <m:t>)</m:t>
              </m:r>
              <m:r>
                <m:t>p</m:t>
              </m:r>
              <m:r>
                <m:t>(</m:t>
              </m:r>
              <m:r>
                <m:t>θ</m:t>
              </m:r>
              <m:r>
                <m:t>)</m:t>
              </m:r>
            </m:num>
            <m:den>
              <m:r>
                <m:t>p</m:t>
              </m:r>
              <m:r>
                <m:t>(</m:t>
              </m:r>
              <m:r>
                <m:t>Y</m:t>
              </m:r>
              <m:r>
                <m:t>)</m:t>
              </m:r>
            </m:den>
          </m:f>
        </m:oMath>
      </m:oMathPara>
    </w:p>
    <w:p>
      <w:pPr>
        <w:pStyle w:val="FirstParagraph"/>
      </w:pPr>
      <w:r>
        <w:t xml:space="preserve">In the above equation</w:t>
      </w:r>
      <w:r>
        <w:t xml:space="preserve"> </w:t>
      </w:r>
      <m:oMath>
        <m:r>
          <m:t>p</m:t>
        </m:r>
        <m:r>
          <m:t>(</m:t>
        </m:r>
        <m:r>
          <m:t>Y</m:t>
        </m:r>
        <m:r>
          <m:t>|</m:t>
        </m:r>
        <m:r>
          <m:t>θ</m:t>
        </m:r>
        <m:r>
          <m:t>)</m:t>
        </m:r>
      </m:oMath>
      <w:r>
        <w:t xml:space="preserve"> </w:t>
      </w:r>
      <w:r>
        <w:t xml:space="preserve">is the likelihood,</w:t>
      </w:r>
      <w:r>
        <w:t xml:space="preserve"> </w:t>
      </w:r>
      <m:oMath>
        <m:r>
          <m:t>p</m:t>
        </m:r>
        <m:r>
          <m:t>(</m:t>
        </m:r>
        <m:r>
          <m:t>θ</m:t>
        </m:r>
        <m:r>
          <m:t>)</m:t>
        </m:r>
      </m:oMath>
      <w:r>
        <w:t xml:space="preserve"> </w:t>
      </w:r>
      <w:r>
        <w:t xml:space="preserve">is the prior distribution and</w:t>
      </w:r>
      <w:r>
        <w:t xml:space="preserve"> </w:t>
      </w:r>
      <m:oMath>
        <m:r>
          <m:t>p</m:t>
        </m:r>
        <m:r>
          <m:t>(</m:t>
        </m:r>
        <m:r>
          <m:t>Y</m:t>
        </m:r>
        <m:r>
          <m:t>)</m:t>
        </m:r>
      </m:oMath>
      <w:r>
        <w:t xml:space="preserve"> </w:t>
      </w:r>
      <w:r>
        <w:t xml:space="preserve">is</w:t>
      </w:r>
      <w:r>
        <w:t xml:space="preserve"> </w:t>
      </w:r>
      <w:r>
        <w:t xml:space="preserve">the marginal likelihood. The likelihood</w:t>
      </w:r>
      <w:r>
        <w:t xml:space="preserve"> </w:t>
      </w:r>
      <m:oMath>
        <m:r>
          <m:t>p</m:t>
        </m:r>
        <m:r>
          <m:t>(</m:t>
        </m:r>
        <m:r>
          <m:t>Y</m:t>
        </m:r>
        <m:r>
          <m:t>|</m:t>
        </m:r>
        <m:r>
          <m:t>θ</m:t>
        </m:r>
        <m:r>
          <m:t>)</m:t>
        </m:r>
      </m:oMath>
      <w:r>
        <w:t xml:space="preserve"> </w:t>
      </w:r>
      <w:r>
        <w:t xml:space="preserve">is the distribution of the data given the</w:t>
      </w:r>
      <w:r>
        <w:t xml:space="preserve"> </w:t>
      </w:r>
      <w:r>
        <w:t xml:space="preserve">parameters and thus relates the the data to the parameters. The prior distribution</w:t>
      </w:r>
      <w:r>
        <w:t xml:space="preserve"> </w:t>
      </w:r>
      <m:oMath>
        <m:r>
          <m:t>p</m:t>
        </m:r>
        <m:r>
          <m:t>(</m:t>
        </m:r>
        <m:r>
          <m:t>θ</m:t>
        </m:r>
        <m:r>
          <m:t>)</m:t>
        </m:r>
      </m:oMath>
      <w:r>
        <w:t xml:space="preserve"> </w:t>
      </w:r>
      <w:r>
        <w:t xml:space="preserve">describes the uncertainty in the parameters before having seen the data. It thus allows to</w:t>
      </w:r>
      <w:r>
        <w:t xml:space="preserve"> </w:t>
      </w:r>
      <w:r>
        <w:t xml:space="preserve">explicitely incorporate prior knowledge into the model. The marginal likelihood</w:t>
      </w:r>
      <w:r>
        <w:t xml:space="preserve"> </w:t>
      </w:r>
      <m:oMath>
        <m:r>
          <m:t>p</m:t>
        </m:r>
        <m:r>
          <m:t>(</m:t>
        </m:r>
        <m:r>
          <m:t>Y</m:t>
        </m:r>
        <m:r>
          <m:t>)</m:t>
        </m:r>
      </m:oMath>
      <w:r>
        <w:t xml:space="preserve"> </w:t>
      </w:r>
      <w:r>
        <w:t xml:space="preserve">serves</w:t>
      </w:r>
      <w:r>
        <w:t xml:space="preserve"> </w:t>
      </w:r>
      <w:r>
        <w:t xml:space="preserve">as a normalizing constant so that the posterior is an actual probability distribution.</w:t>
      </w:r>
      <w:r>
        <w:t xml:space="preserve"> </w:t>
      </w:r>
      <w:r>
        <w:t xml:space="preserve">In classical frequentist statistics, parameter estimates are obtained by finding those parameter</w:t>
      </w:r>
      <w:r>
        <w:t xml:space="preserve"> </w:t>
      </w:r>
      <w:r>
        <w:t xml:space="preserve">values that maximise the likelihood. In contrast, Bayesian statistics estimate the full (joint)</w:t>
      </w:r>
      <w:r>
        <w:t xml:space="preserve"> </w:t>
      </w:r>
      <w:r>
        <w:t xml:space="preserve">posterior distribution of the parameters. This is not only fully consistent with probability</w:t>
      </w:r>
      <w:r>
        <w:t xml:space="preserve"> </w:t>
      </w:r>
      <w:r>
        <w:t xml:space="preserve">theory, but also much more informative than a single point estimate (and an approximate</w:t>
      </w:r>
      <w:r>
        <w:t xml:space="preserve"> </w:t>
      </w:r>
      <w:r>
        <w:t xml:space="preserve">measure of uncertainty commonly known as ’standard error’). Obtaining the posterior</w:t>
      </w:r>
      <w:r>
        <w:t xml:space="preserve"> </w:t>
      </w:r>
      <w:r>
        <w:t xml:space="preserve">distribution analytically is rarely possible and thus Bayesian statistics relies on Markov-Chain</w:t>
      </w:r>
      <w:r>
        <w:t xml:space="preserve"> </w:t>
      </w:r>
      <w:r>
        <w:t xml:space="preserve">Monte-Carlo (MCMC) methods to obtain samples (i.e., random values) from the posterior</w:t>
      </w:r>
      <w:r>
        <w:t xml:space="preserve"> </w:t>
      </w:r>
      <w:r>
        <w:t xml:space="preserve">distribution. Such sampling algorithms are computationally very intensive and thus fitting</w:t>
      </w:r>
      <w:r>
        <w:t xml:space="preserve"> </w:t>
      </w:r>
      <w:r>
        <w:t xml:space="preserve">models using Bayesian statistics is usually much slower than in frequentist statistics. However.</w:t>
      </w:r>
      <w:r>
        <w:t xml:space="preserve"> </w:t>
      </w:r>
      <w:r>
        <w:t xml:space="preserve">advantages of Bayesian statistics—such as greater modeling flexibility, prior distributions,</w:t>
      </w:r>
      <w:r>
        <w:t xml:space="preserve"> </w:t>
      </w:r>
      <w:r>
        <w:t xml:space="preserve">and more informative results—are often worth the increased computational cost</w:t>
      </w:r>
      <w:r>
        <w:t xml:space="preserve"> </w:t>
      </w:r>
      <w:r>
        <w:t xml:space="preserve">(Bürkner and Vuorre</w:t>
      </w:r>
      <w:r>
        <w:t xml:space="preserve"> </w:t>
      </w:r>
      <w:hyperlink w:anchor="ref-burkner2019ordinal">
        <w:r>
          <w:rPr>
            <w:rStyle w:val="Hyperlink"/>
          </w:rPr>
          <w:t xml:space="preserve">2019</w:t>
        </w:r>
      </w:hyperlink>
      <w:r>
        <w:t xml:space="preserve">; Gelman, Hill, and Vehtari</w:t>
      </w:r>
      <w:r>
        <w:t xml:space="preserve"> </w:t>
      </w:r>
      <w:hyperlink w:anchor="ref-gelman2020regression">
        <w:r>
          <w:rPr>
            <w:rStyle w:val="Hyperlink"/>
          </w:rPr>
          <w:t xml:space="preserve">2020</w:t>
        </w:r>
      </w:hyperlink>
      <w:r>
        <w:t xml:space="preserve">; McElreath</w:t>
      </w:r>
      <w:r>
        <w:t xml:space="preserve"> </w:t>
      </w:r>
      <w:hyperlink w:anchor="ref-mcelreath2020statistical">
        <w:r>
          <w:rPr>
            <w:rStyle w:val="Hyperlink"/>
          </w:rPr>
          <w:t xml:space="preserve">2020</w:t>
        </w:r>
      </w:hyperlink>
      <w:r>
        <w:t xml:space="preserve">)</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G1, G2, G3, 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G1 = 0, G2 = 0, G3 = 13/16 (0.81), 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w:t>
      </w:r>
      <w:r>
        <w:t xml:space="preserve"> </w:t>
      </w:r>
      <w:r>
        <w:t xml:space="preserve">(McElreath</w:t>
      </w:r>
      <w:r>
        <w:t xml:space="preserve"> </w:t>
      </w:r>
      <w:hyperlink w:anchor="ref-mcelreath2020statistical">
        <w:r>
          <w:rPr>
            <w:rStyle w:val="Hyperlink"/>
          </w:rPr>
          <w:t xml:space="preserve">2020</w:t>
        </w:r>
      </w:hyperlink>
      <w:r>
        <w:t xml:space="preserve">)</w:t>
      </w:r>
      <w:r>
        <w:t xml:space="preserve"> </w:t>
      </w:r>
      <w:r>
        <w:t xml:space="preserve">. We consider the observed positive microbiological status M as a Bernoulli realizations of a random process with probability</w:t>
      </w:r>
      <w:r>
        <w:t xml:space="preserve"> </w:t>
      </w:r>
      <w:r>
        <w:rPr>
          <w:b/>
        </w:rPr>
        <w:t xml:space="preserve">p</w:t>
      </w:r>
      <w:r>
        <w:t xml:space="preserve"> </w:t>
      </w:r>
      <w:r>
        <w:t xml:space="preserve">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w:t>
      </w:r>
      <w:r>
        <w:t xml:space="preserve"> </w:t>
      </w:r>
      <w:r>
        <w:rPr>
          <w:b/>
        </w:rPr>
        <w:t xml:space="preserve">p</w:t>
      </w:r>
      <w:r>
        <w:t xml:space="preserve"> </w:t>
      </w:r>
      <w:r>
        <w:t xml:space="preserve">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X</m:t>
          </m:r>
        </m:oMath>
      </m:oMathPara>
    </w:p>
    <w:p>
      <w:pPr>
        <w:pStyle w:val="FirstParagraph"/>
      </w:pPr>
      <w:r>
        <w:t xml:space="preserve">from which it can be derived</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w:t>
      </w:r>
      <w:r>
        <w:t xml:space="preserve"> </w:t>
      </w:r>
      <w:r>
        <w:t xml:space="preserve">McElreath (</w:t>
      </w:r>
      <w:hyperlink w:anchor="ref-mcelreath2020statistical">
        <w:r>
          <w:rPr>
            <w:rStyle w:val="Hyperlink"/>
          </w:rPr>
          <w:t xml:space="preserve">2020</w:t>
        </w:r>
      </w:hyperlink>
      <w:r>
        <w:t xml:space="preserve">)</w:t>
      </w:r>
      <w:r>
        <w:t xml:space="preserve"> </w:t>
      </w:r>
      <w:r>
        <w:t xml:space="preserve">:</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(Bürkner</w:t>
      </w:r>
      <w:r>
        <w:t xml:space="preserve"> </w:t>
      </w:r>
      <w:hyperlink w:anchor="ref-burkner2017brms">
        <w:r>
          <w:rPr>
            <w:rStyle w:val="Hyperlink"/>
          </w:rPr>
          <w:t xml:space="preserve">2017</w:t>
        </w:r>
      </w:hyperlink>
      <w:r>
        <w:t xml:space="preserve">)</w:t>
      </w:r>
      <w:r>
        <w:t xml:space="preserve">package was used as the interface of the STAN language</w:t>
      </w:r>
      <w:r>
        <w:t xml:space="preserve"> </w:t>
      </w:r>
      <w:r>
        <w:t xml:space="preserve">(Gelman, Lee, and Guo</w:t>
      </w:r>
      <w:r>
        <w:t xml:space="preserve"> </w:t>
      </w:r>
      <w:hyperlink w:anchor="ref-gelman2015stan">
        <w:r>
          <w:rPr>
            <w:rStyle w:val="Hyperlink"/>
          </w:rPr>
          <w:t xml:space="preserve">2015</w:t>
        </w:r>
      </w:hyperlink>
      <w:r>
        <w:t xml:space="preserve">)</w:t>
      </w:r>
      <w:r>
        <w:t xml:space="preserve"> </w:t>
      </w:r>
      <w:r>
        <w:t xml:space="preserve">implemented in R in the rstan</w:t>
      </w:r>
      <w:r>
        <w:t xml:space="preserve"> </w:t>
      </w:r>
      <w:r>
        <w:t xml:space="preserve">(Team and others</w:t>
      </w:r>
      <w:r>
        <w:t xml:space="preserve"> </w:t>
      </w:r>
      <w:hyperlink w:anchor="ref-team2016rstan">
        <w:r>
          <w:rPr>
            <w:rStyle w:val="Hyperlink"/>
          </w:rPr>
          <w:t xml:space="preserve">2016</w:t>
        </w:r>
      </w:hyperlink>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w:t>
      </w:r>
      <w:r>
        <w:t xml:space="preserve"> </w:t>
      </w:r>
      <w:r>
        <w:t xml:space="preserve">(Makowski et al.</w:t>
      </w:r>
      <w:r>
        <w:t xml:space="preserve"> </w:t>
      </w:r>
      <w:hyperlink w:anchor="ref-makowski2019indices">
        <w:r>
          <w:rPr>
            <w:rStyle w:val="Hyperlink"/>
          </w:rPr>
          <w:t xml:space="preserve">2019</w:t>
        </w:r>
      </w:hyperlink>
      <w:r>
        <w:t xml:space="preserve">)</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w:t>
      </w:r>
      <w:r>
        <w:t xml:space="preserve"> </w:t>
      </w:r>
      <w:r>
        <w:t xml:space="preserve">(Makowski et al.</w:t>
      </w:r>
      <w:r>
        <w:t xml:space="preserve"> </w:t>
      </w:r>
      <w:hyperlink w:anchor="ref-makowski2019indices">
        <w:r>
          <w:rPr>
            <w:rStyle w:val="Hyperlink"/>
          </w:rPr>
          <w:t xml:space="preserve">2019</w:t>
        </w:r>
      </w:hyperlink>
      <w:r>
        <w:t xml:space="preserve">)</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w:t>
      </w:r>
      <w:r>
        <w:t xml:space="preserve"> </w:t>
      </w:r>
      <w:r>
        <w:t xml:space="preserve">(Makowski et al.</w:t>
      </w:r>
      <w:r>
        <w:t xml:space="preserve"> </w:t>
      </w:r>
      <w:hyperlink w:anchor="ref-makowski2019indices">
        <w:r>
          <w:rPr>
            <w:rStyle w:val="Hyperlink"/>
          </w:rPr>
          <w:t xml:space="preserve">2019</w:t>
        </w:r>
      </w:hyperlink>
      <w:r>
        <w:t xml:space="preserve">; Kruschke</w:t>
      </w:r>
      <w:r>
        <w:t xml:space="preserve"> </w:t>
      </w:r>
      <w:hyperlink w:anchor="ref-kruschke2014doing">
        <w:r>
          <w:rPr>
            <w:rStyle w:val="Hyperlink"/>
          </w:rPr>
          <w:t xml:space="preserve">2014</w:t>
        </w:r>
      </w:hyperlink>
      <w:r>
        <w:t xml:space="preserve">; Cohen</w:t>
      </w:r>
      <w:r>
        <w:t xml:space="preserve"> </w:t>
      </w:r>
      <w:hyperlink w:anchor="ref-cohen1992statistical">
        <w:r>
          <w:rPr>
            <w:rStyle w:val="Hyperlink"/>
          </w:rPr>
          <w:t xml:space="preserve">1992</w:t>
        </w:r>
      </w:hyperlink>
      <w:r>
        <w:t xml:space="preserve"> </w:t>
      </w:r>
      <w:r>
        <w:t xml:space="preserve">)</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w:t>
      </w:r>
      <w:r>
        <w:t xml:space="preserve"> </w:t>
      </w:r>
      <w:r>
        <w:t xml:space="preserve">Bürkner and Vuorre (</w:t>
      </w:r>
      <w:hyperlink w:anchor="ref-burkner2019ordinal">
        <w:r>
          <w:rPr>
            <w:rStyle w:val="Hyperlink"/>
          </w:rPr>
          <w:t xml:space="preserve">2019</w:t>
        </w:r>
      </w:hyperlink>
      <w:r>
        <w:t xml:space="preserve">)</w:t>
      </w:r>
      <w:r>
        <w:t xml:space="preserve">.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w:t>
      </w:r>
      <w:r>
        <w:t xml:space="preserve"> </w:t>
      </w:r>
      <w:r>
        <w:t xml:space="preserve">(Tutz</w:t>
      </w:r>
      <w:r>
        <w:t xml:space="preserve"> </w:t>
      </w:r>
      <w:hyperlink w:anchor="ref-tutz1997sequential">
        <w:r>
          <w:rPr>
            <w:rStyle w:val="Hyperlink"/>
          </w:rPr>
          <w:t xml:space="preserve">1997</w:t>
        </w:r>
      </w:hyperlink>
      <w:r>
        <w:t xml:space="preserve">)</w:t>
      </w:r>
      <w:r>
        <w:t xml:space="preserve"> </w:t>
      </w:r>
      <w:r>
        <w:t xml:space="preserve">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 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p>
    <w:p>
      <w:pPr>
        <w:pStyle w:val="BodyText"/>
      </w:pPr>
      <w:r>
        <w:t xml:space="preserve">We choosed</w:t>
      </w:r>
      <w:r>
        <w:t xml:space="preserve"> </w:t>
      </w:r>
      <w:r>
        <w:rPr>
          <w:b/>
        </w:rPr>
        <w:t xml:space="preserve">SM</w:t>
      </w:r>
      <w:r>
        <w:t xml:space="preserve"> </w:t>
      </w:r>
      <w:r>
        <w:t xml:space="preserve">because the assumption of the model with respect to the variable outcome is consistent with the histological development of the granulomas. The model is further complicated by the hierarchical structure of the data, whereby observations made at the granuloma level are nested under the lymph nodes. So we fitted a multilevel ordinal sequential model with</w:t>
      </w:r>
      <w:r>
        <w:t xml:space="preserve"> </w:t>
      </w:r>
      <w:r>
        <w:rPr>
          <w:b/>
        </w:rPr>
        <w:t xml:space="preserve">Idlymph</w:t>
      </w:r>
      <w:r>
        <w:t xml:space="preserve"> </w:t>
      </w:r>
      <w:r>
        <w:t xml:space="preserve">as random effect.</w:t>
      </w:r>
    </w:p>
    <w:p>
      <w:pPr>
        <w:pStyle w:val="BodyText"/>
      </w:pPr>
      <w:r>
        <w:t xml:space="preserve">In</w:t>
      </w:r>
      <w:r>
        <w:t xml:space="preserve"> </w:t>
      </w:r>
      <w:r>
        <w:rPr>
          <w:b/>
        </w:rPr>
        <w:t xml:space="preserve">SM</w:t>
      </w:r>
      <w:r>
        <w:t xml:space="preserve"> </w:t>
      </w:r>
      <w:r>
        <w:t xml:space="preserve">the dependend variable Y results from a counting process and is truly ordinal in the sense that in order to achieve a category</w:t>
      </w:r>
      <w:r>
        <w:t xml:space="preserve"> </w:t>
      </w:r>
      <m:oMath>
        <m:r>
          <m:t>k</m:t>
        </m:r>
      </m:oMath>
      <w:r>
        <w:t xml:space="preserve">, one has to first achieve all lower categories 1 to</w:t>
      </w:r>
      <w:r>
        <w:t xml:space="preserve"> </w:t>
      </w:r>
      <m:oMath>
        <m:r>
          <m:t>k</m:t>
        </m:r>
        <m:r>
          <m:t>−</m:t>
        </m:r>
        <m:r>
          <m:t>1</m:t>
        </m:r>
      </m:oMath>
      <w:r>
        <w:t xml:space="preserve">. For every category</w:t>
      </w:r>
      <w:r>
        <w:t xml:space="preserve"> </w:t>
      </w:r>
      <m:oMath>
        <m:r>
          <m:t>k</m:t>
        </m:r>
        <m:r>
          <m:t>∈</m:t>
        </m:r>
        <m:r>
          <m:t>{</m:t>
        </m:r>
        <m:r>
          <m:t>1</m:t>
        </m:r>
        <m:r>
          <m:t>,</m:t>
        </m:r>
        <m:r>
          <m:t>.</m:t>
        </m:r>
        <m:r>
          <m:t>.</m:t>
        </m:r>
        <m:r>
          <m:t>.</m:t>
        </m:r>
        <m:r>
          <m:t>,</m:t>
        </m:r>
        <m:r>
          <m:t>K</m:t>
        </m:r>
        <m:r>
          <m:t>}</m:t>
        </m:r>
      </m:oMath>
      <w:r>
        <w:t xml:space="preserve"> </w:t>
      </w:r>
      <w:r>
        <w:t xml:space="preserve">there is a latent continuos variable</w:t>
      </w:r>
      <w:r>
        <w:t xml:space="preserve"> </w:t>
      </w:r>
      <m:oMath>
        <m:acc>
          <m:accPr>
            <m:chr m:val="̂"/>
          </m:accPr>
          <m:e>
            <m:sSub>
              <m:e>
                <m:r>
                  <m:t>Y</m:t>
                </m:r>
              </m:e>
              <m:sub>
                <m:r>
                  <m:t>k</m:t>
                </m:r>
              </m:sub>
            </m:sSub>
          </m:e>
        </m:acc>
      </m:oMath>
      <w:r>
        <w:t xml:space="preserve"> </w:t>
      </w:r>
      <w:r>
        <w:t xml:space="preserve">determining the transition between the</w:t>
      </w:r>
      <w:r>
        <w:t xml:space="preserve"> </w:t>
      </w:r>
      <m:oMath>
        <m:r>
          <m:t>k</m:t>
        </m:r>
        <m:r>
          <m:t>+</m:t>
        </m:r>
        <m:r>
          <m:t>1</m:t>
        </m:r>
        <m:r>
          <m:rPr>
            <m:nor/>
            <m:sty m:val="p"/>
          </m:rPr>
          <m:t>th category</m:t>
        </m:r>
      </m:oMath>
      <w:r>
        <w:t xml:space="preserve">. We assume that</w:t>
      </w:r>
      <w:r>
        <w:t xml:space="preserve"> </w:t>
      </w:r>
      <m:oMath>
        <m:acc>
          <m:accPr>
            <m:chr m:val="̂"/>
          </m:accPr>
          <m:e>
            <m:sSub>
              <m:e>
                <m:r>
                  <m:t>Y</m:t>
                </m:r>
              </m:e>
              <m:sub>
                <m:r>
                  <m:t>k</m:t>
                </m:r>
              </m:sub>
            </m:sSub>
          </m:e>
        </m:acc>
      </m:oMath>
      <w:r>
        <w:t xml:space="preserve"> </w:t>
      </w:r>
      <w:r>
        <w:t xml:space="preserve">depends on the predictor term</w:t>
      </w:r>
      <w:r>
        <w:t xml:space="preserve"> </w:t>
      </w:r>
      <m:oMath>
        <m:r>
          <m:t>η</m:t>
        </m:r>
      </m:oMath>
      <w:r>
        <w:t xml:space="preserve"> </w:t>
      </w:r>
      <w:r>
        <w:t xml:space="preserve">and error</w:t>
      </w:r>
      <w:r>
        <w:t xml:space="preserve"> </w:t>
      </w:r>
      <m:oMath>
        <m:sSub>
          <m:e>
            <m:r>
              <m:t>ϵ</m:t>
            </m:r>
          </m:e>
          <m:sub>
            <m:r>
              <m:t>k</m:t>
            </m:r>
          </m:sub>
        </m:sSub>
      </m:oMath>
      <w:r>
        <w:t xml:space="preserve">:</w:t>
      </w:r>
    </w:p>
    <w:p>
      <w:pPr>
        <w:pStyle w:val="BodyText"/>
      </w:pPr>
      <m:oMathPara>
        <m:oMathParaPr>
          <m:jc m:val="center"/>
        </m:oMathParaPr>
        <m:oMath>
          <m:acc>
            <m:accPr>
              <m:chr m:val="̂"/>
            </m:accPr>
            <m:e>
              <m:sSub>
                <m:e>
                  <m:r>
                    <m:t>Y</m:t>
                  </m:r>
                </m:e>
                <m:sub>
                  <m:r>
                    <m:t>k</m:t>
                  </m:r>
                </m:sub>
              </m:sSub>
            </m:e>
          </m:acc>
          <m:r>
            <m:t>=</m:t>
          </m:r>
          <m:r>
            <m:t>η</m:t>
          </m:r>
          <m:r>
            <m:t>+</m:t>
          </m:r>
          <m:sSub>
            <m:e>
              <m:r>
                <m:t>ϵ</m:t>
              </m:r>
            </m:e>
            <m:sub>
              <m:r>
                <m:t>k</m:t>
              </m:r>
            </m:sub>
          </m:sSub>
        </m:oMath>
      </m:oMathPara>
    </w:p>
    <w:p>
      <w:pPr>
        <w:pStyle w:val="FirstParagraph"/>
      </w:pPr>
      <w:r>
        <w:t xml:space="preserve">where</w:t>
      </w:r>
      <w:r>
        <w:t xml:space="preserve"> </w:t>
      </w:r>
      <m:oMath>
        <m:r>
          <m:t>η</m:t>
        </m:r>
      </m:oMath>
      <w:r>
        <w:t xml:space="preserve"> </w:t>
      </w:r>
      <w:r>
        <w:t xml:space="preserve">is the linear predictor:</w:t>
      </w:r>
      <w:r>
        <w:t xml:space="preserve"> </w:t>
      </w:r>
      <m:oMath>
        <m:r>
          <m:t>β</m:t>
        </m:r>
        <m:r>
          <m:t>X</m:t>
        </m:r>
      </m:oMath>
      <w:r>
        <w:t xml:space="preserve"> </w:t>
      </w:r>
      <w:r>
        <w:t xml:space="preserve">where</w:t>
      </w:r>
      <w:r>
        <w:t xml:space="preserve"> </w:t>
      </w:r>
      <m:oMath>
        <m:r>
          <m:t>β</m:t>
        </m:r>
      </m:oMath>
      <w:r>
        <w:t xml:space="preserve"> </w:t>
      </w:r>
      <w:r>
        <w:t xml:space="preserve">is the matrix of regression coefficients and</w:t>
      </w:r>
      <w:r>
        <w:t xml:space="preserve"> </w:t>
      </w:r>
      <m:oMath>
        <m:r>
          <m:t>X</m:t>
        </m:r>
      </m:oMath>
      <w:r>
        <w:t xml:space="preserve"> </w:t>
      </w:r>
      <w:r>
        <w:t xml:space="preserve">is the matrix of the values of predictors.</w:t>
      </w:r>
    </w:p>
    <w:p>
      <w:pPr>
        <w:pStyle w:val="BodyText"/>
      </w:pPr>
      <w:r>
        <w:t xml:space="preserve">So we can formulate the bayesian model as:</w:t>
      </w:r>
    </w:p>
    <w:p>
      <w:pPr>
        <w:pStyle w:val="BodyText"/>
      </w:pPr>
      <m:oMath>
        <m:r>
          <m:rPr>
            <m:nor/>
            <m:sty m:val="p"/>
          </m:rPr>
          <m:t>Histo</m:t>
        </m:r>
        <m:r>
          <m:t>∼</m:t>
        </m:r>
        <m:r>
          <m:rPr>
            <m:nor/>
            <m:sty m:val="p"/>
          </m:rPr>
          <m:t>ordered-logit</m:t>
        </m:r>
        <m:r>
          <m:t>(</m:t>
        </m:r>
        <m:r>
          <m:t>η</m:t>
        </m:r>
        <m:r>
          <m:t>,</m:t>
        </m:r>
        <m:r>
          <m:t>k</m:t>
        </m:r>
        <m:r>
          <m:t>)</m:t>
        </m:r>
      </m:oMath>
    </w:p>
    <w:p>
      <w:pPr>
        <w:pStyle w:val="BodyText"/>
      </w:pPr>
      <m:oMath>
        <m:r>
          <m:t>η</m:t>
        </m:r>
        <m:r>
          <m:t>=</m:t>
        </m:r>
        <m:sSub>
          <m:e>
            <m:r>
              <m:t>α</m:t>
            </m:r>
          </m:e>
          <m:sub>
            <m:r>
              <m:t>[</m:t>
            </m:r>
            <m:r>
              <m:t>I</m:t>
            </m:r>
            <m:r>
              <m:t>d</m:t>
            </m:r>
            <m:r>
              <m:t>l</m:t>
            </m:r>
            <m:r>
              <m:t>i</m:t>
            </m:r>
            <m:r>
              <m:t>n</m:t>
            </m:r>
            <m:r>
              <m:t>f</m:t>
            </m:r>
            <m:r>
              <m:t>]</m:t>
            </m:r>
          </m:sub>
        </m:sSub>
        <m:r>
          <m:t>+</m:t>
        </m:r>
        <m:r>
          <m:t>β</m:t>
        </m:r>
        <m:r>
          <m:t>X</m:t>
        </m:r>
      </m:oMath>
    </w:p>
    <w:p>
      <w:pPr>
        <w:pStyle w:val="BodyText"/>
      </w:pPr>
      <w:r>
        <w:t xml:space="preserve">with this priors :</w:t>
      </w:r>
    </w:p>
    <w:p>
      <w:pPr>
        <w:pStyle w:val="BodyText"/>
      </w:pPr>
      <m:oMathPara>
        <m:oMathParaPr>
          <m:jc m:val="center"/>
        </m:oMathParaPr>
        <m:oMath>
          <m:m>
            <m:mPr>
              <m:baseJc m:val="center"/>
              <m:plcHide m:val="1"/>
              <m:mcs>
                <m:mc>
                  <m:mcPr>
                    <m:mcJc m:val="right"/>
                    <m:count m:val="1"/>
                  </m:mcPr>
                </m:mc>
              </m:mcs>
            </m:mPr>
            <m:mr>
              <m:e>
                <m:r>
                  <m:t>k</m:t>
                </m:r>
                <m:r>
                  <m:t>∼</m:t>
                </m:r>
                <m:r>
                  <m:t>N</m:t>
                </m:r>
                <m:r>
                  <m:t>o</m:t>
                </m:r>
                <m:r>
                  <m:t>r</m:t>
                </m:r>
                <m:r>
                  <m:t>m</m:t>
                </m:r>
                <m:r>
                  <m:t>a</m:t>
                </m:r>
                <m:r>
                  <m:t>l</m:t>
                </m:r>
                <m:r>
                  <m:t>(</m:t>
                </m:r>
                <m:r>
                  <m:t>0</m:t>
                </m:r>
                <m:r>
                  <m:t>,</m:t>
                </m:r>
                <m:r>
                  <m:t>5</m:t>
                </m:r>
                <m:r>
                  <m:t>)</m:t>
                </m:r>
              </m:e>
            </m:mr>
            <m:mr>
              <m:e>
                <m:r>
                  <m:t>α</m:t>
                </m:r>
                <m:r>
                  <m:t>∼</m:t>
                </m:r>
                <m:r>
                  <m:t>N</m:t>
                </m:r>
                <m:r>
                  <m:t>o</m:t>
                </m:r>
                <m:r>
                  <m:t>r</m:t>
                </m:r>
                <m:r>
                  <m:t>m</m:t>
                </m:r>
                <m:r>
                  <m:t>a</m:t>
                </m:r>
                <m:r>
                  <m:t>l</m:t>
                </m:r>
                <m:r>
                  <m:t>(</m:t>
                </m:r>
                <m:acc>
                  <m:accPr>
                    <m:chr m:val="̂"/>
                  </m:accPr>
                  <m:e>
                    <m:r>
                      <m:t>α</m:t>
                    </m:r>
                  </m:e>
                </m:acc>
                <m:r>
                  <m:t>,</m:t>
                </m:r>
                <m:r>
                  <m:t>σ</m:t>
                </m:r>
                <m:r>
                  <m:t>)</m:t>
                </m:r>
              </m:e>
            </m:mr>
            <m:mr>
              <m:e>
                <m:acc>
                  <m:accPr>
                    <m:chr m:val="̂"/>
                  </m:accPr>
                  <m:e>
                    <m:r>
                      <m:t>α</m:t>
                    </m:r>
                  </m:e>
                </m:acc>
                <m:r>
                  <m:t>∼</m:t>
                </m:r>
                <m:r>
                  <m:t>N</m:t>
                </m:r>
                <m:r>
                  <m:t>o</m:t>
                </m:r>
                <m:r>
                  <m:t>r</m:t>
                </m:r>
                <m:r>
                  <m:t>m</m:t>
                </m:r>
                <m:r>
                  <m:t>a</m:t>
                </m:r>
                <m:r>
                  <m:t>l</m:t>
                </m:r>
                <m:r>
                  <m:t>(</m:t>
                </m:r>
                <m:r>
                  <m:t>0</m:t>
                </m:r>
                <m:r>
                  <m:t>,</m:t>
                </m:r>
                <m:r>
                  <m:t>5</m:t>
                </m:r>
                <m:r>
                  <m:t>)</m:t>
                </m:r>
              </m:e>
            </m:mr>
            <m:mr>
              <m:e>
                <m:r>
                  <m:t>σ</m:t>
                </m:r>
                <m:r>
                  <m:t>∼</m:t>
                </m:r>
                <m:r>
                  <m:t>S</m:t>
                </m:r>
                <m:r>
                  <m:t>t</m:t>
                </m:r>
                <m:r>
                  <m:t>u</m:t>
                </m:r>
                <m:r>
                  <m:t>d</m:t>
                </m:r>
                <m:r>
                  <m:t>e</m:t>
                </m:r>
                <m:r>
                  <m:t>n</m:t>
                </m:r>
                <m:r>
                  <m:t>t</m:t>
                </m:r>
                <m:r>
                  <m:t>(</m:t>
                </m:r>
                <m:r>
                  <m:t>3</m:t>
                </m:r>
                <m:r>
                  <m:t>,</m:t>
                </m:r>
                <m:r>
                  <m:t>0</m:t>
                </m:r>
                <m:r>
                  <m:t>,</m:t>
                </m:r>
                <m:r>
                  <m:t>2.5</m:t>
                </m:r>
                <m:r>
                  <m:t>)</m:t>
                </m:r>
              </m:e>
            </m:mr>
            <m:mr>
              <m:e>
                <m:r>
                  <m:t>β</m:t>
                </m:r>
                <m:r>
                  <m:t>∼</m:t>
                </m:r>
                <m:r>
                  <m:t>N</m:t>
                </m:r>
                <m:r>
                  <m:t>o</m:t>
                </m:r>
                <m:r>
                  <m:t>r</m:t>
                </m:r>
                <m:r>
                  <m:t>m</m:t>
                </m:r>
                <m:r>
                  <m:t>a</m:t>
                </m:r>
                <m:r>
                  <m:t>l</m:t>
                </m:r>
                <m:r>
                  <m:t>(</m:t>
                </m:r>
                <m:r>
                  <m:t>0</m:t>
                </m:r>
                <m:r>
                  <m:t>,</m:t>
                </m:r>
                <m:r>
                  <m:t>5</m:t>
                </m:r>
                <m:r>
                  <m:t>)</m:t>
                </m:r>
              </m:e>
            </m:mr>
          </m:m>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(Bürkner</w:t>
      </w:r>
      <w:r>
        <w:t xml:space="preserve"> </w:t>
      </w:r>
      <w:hyperlink w:anchor="ref-burkner2017brms">
        <w:r>
          <w:rPr>
            <w:rStyle w:val="Hyperlink"/>
          </w:rPr>
          <w:t xml:space="preserve">2017</w:t>
        </w:r>
      </w:hyperlink>
      <w:r>
        <w:t xml:space="preserve">)</w:t>
      </w:r>
      <w:r>
        <w:t xml:space="preserve">package was used as the interface of the STAN language</w:t>
      </w:r>
      <w:r>
        <w:t xml:space="preserve"> </w:t>
      </w:r>
      <w:r>
        <w:t xml:space="preserve">(Gelman, Lee, and Guo</w:t>
      </w:r>
      <w:r>
        <w:t xml:space="preserve"> </w:t>
      </w:r>
      <w:hyperlink w:anchor="ref-gelman2015stan">
        <w:r>
          <w:rPr>
            <w:rStyle w:val="Hyperlink"/>
          </w:rPr>
          <w:t xml:space="preserve">2015</w:t>
        </w:r>
      </w:hyperlink>
      <w:r>
        <w:t xml:space="preserve">)</w:t>
      </w:r>
      <w:r>
        <w:t xml:space="preserve"> </w:t>
      </w:r>
      <w:r>
        <w:t xml:space="preserve">implemented in R in the rstan</w:t>
      </w:r>
      <w:r>
        <w:t xml:space="preserve"> </w:t>
      </w:r>
      <w:r>
        <w:t xml:space="preserve">(Team and others</w:t>
      </w:r>
      <w:r>
        <w:t xml:space="preserve"> </w:t>
      </w:r>
      <w:hyperlink w:anchor="ref-team2016rstan">
        <w:r>
          <w:rPr>
            <w:rStyle w:val="Hyperlink"/>
          </w:rPr>
          <w:t xml:space="preserve">2016</w:t>
        </w:r>
      </w:hyperlink>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w:t>
      </w:r>
      <w:r>
        <w:t xml:space="preserve"> </w:t>
      </w:r>
      <w:r>
        <w:t xml:space="preserve">(Makowski et al.</w:t>
      </w:r>
      <w:r>
        <w:t xml:space="preserve"> </w:t>
      </w:r>
      <w:hyperlink w:anchor="ref-makowski2019indices">
        <w:r>
          <w:rPr>
            <w:rStyle w:val="Hyperlink"/>
          </w:rPr>
          <w:t xml:space="preserve">2019</w:t>
        </w:r>
      </w:hyperlink>
      <w:r>
        <w:t xml:space="preserve">)</w:t>
      </w:r>
    </w:p>
    <w:p>
      <w:pPr>
        <w:pStyle w:val="BodyText"/>
      </w:pPr>
      <w:r>
        <w:t xml:space="preserve">In order to show how a particular predictor statistically influences the distribution of Histological grade of granulomas while holding the other predictors costant, we plot the conditional effects of relevant predictors, as described by</w:t>
      </w:r>
      <w:r>
        <w:t xml:space="preserve"> </w:t>
      </w:r>
      <w:r>
        <w:t xml:space="preserve">(Bürkner</w:t>
      </w:r>
      <w:r>
        <w:t xml:space="preserve"> </w:t>
      </w:r>
      <w:hyperlink w:anchor="ref-burkner2017brms">
        <w:r>
          <w:rPr>
            <w:rStyle w:val="Hyperlink"/>
          </w:rPr>
          <w:t xml:space="preserve">2017</w:t>
        </w:r>
      </w:hyperlink>
      <w:r>
        <w:t xml:space="preserve">)</w:t>
      </w:r>
      <w:r>
        <w:t xml:space="preserve">.</w:t>
      </w:r>
    </w:p>
    <w:p>
      <w:pPr>
        <w:pStyle w:val="BodyText"/>
      </w:pPr>
      <w:r>
        <w:t xml:space="preserve">RESULTS</w:t>
      </w:r>
    </w:p>
    <w:p>
      <w:pPr>
        <w:pStyle w:val="BodyText"/>
      </w:pPr>
      <w:r>
        <w:rPr>
          <w:b/>
        </w:rPr>
        <w:t xml:space="preserve">MICRO</w:t>
      </w:r>
    </w:p>
    <w:p>
      <w:pPr>
        <w:pStyle w:val="BodyText"/>
      </w:pPr>
      <w:r>
        <w:t xml:space="preserve">The model results: median of posterior estimated coefficients, 95 intervals of credibility, Probability Direction, and Rope are shown in the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22"/>
        <w:gridCol w:w="1132"/>
        <w:gridCol w:w="1083"/>
        <w:gridCol w:w="1169"/>
        <w:gridCol w:w="839"/>
        <w:gridCol w:w="2282"/>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ROPE_Percentage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presence of NAF</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presence of MNC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bl>
    <w:p>
      <w:pPr>
        <w:pStyle w:val="BodyText"/>
      </w:pPr>
      <w:r>
        <w:t xml:space="preserve">Fig.1 report the posterior diastributions of estimated coefficents For each predictor, the distribution of the estimate of the regression coefficient is reported and the area corresponding to the values with negative effect and those with positive effect is indicated with different colors. Considering that the total area of the distribution of the values of the coefficients estimates is equal to 1 (100%), it is possible to calculate the area corresponding to the positive and negative values. In this way we obtain a measure of the importance of the effect estimated by the model called P_direction (PD).</w:t>
      </w:r>
    </w:p>
    <w:p>
      <w:pPr>
        <w:pStyle w:val="BodyText"/>
      </w:pPr>
      <w:r>
        <w:drawing>
          <wp:inline>
            <wp:extent cx="5334000" cy="6667500"/>
            <wp:effectExtent b="0" l="0" r="0" t="0"/>
            <wp:docPr descr="" title="" id="1" name="Picture"/>
            <a:graphic>
              <a:graphicData uri="http://schemas.openxmlformats.org/drawingml/2006/picture">
                <pic:pic>
                  <pic:nvPicPr>
                    <pic:cNvPr descr="microti_files/figure-docx/unnamed-chunk-4-1.png" id="0"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Basically as the proportion of grade 1 granulomas per lymph node increases</w:t>
      </w:r>
      <w:r>
        <w:t xml:space="preserve"> </w:t>
      </w:r>
      <w:r>
        <w:t xml:space="preserve">there is a 90% probability that the probability that the lymph is microbiologically positive increases (keeping the value of all other variables constant). There is a similar effect for the variable G2 even if with a probability of 74%. As the proportion of grade 3 and 4 granulomas increases, there is a tendency to decrease the probability that the lymph node is microbiologically positive with a probability of 91% and 72% respectively. In lymph nodes in which granulomas with acid fast bacteria are present there is a greater probability that they are microbiologically positive in 81% of cases. On the contrary, in 70% of cases the presence of MNC in granulomas reduces the likelihood of the lymph nodes to be microbiologically positive.</w:t>
      </w:r>
      <w:r>
        <w:t xml:space="preserve"> </w:t>
      </w:r>
      <w:r>
        <w:t xml:space="preserve">However, the relevance of the predictors in terms of distance from 0 is not particularly high, and the uncertainty of the estimates also appears to be rather large. Probably the aggregation of information used to analyze data at the lymph node level is not particularly effective in capturing the underlying effects.</w:t>
      </w:r>
    </w:p>
    <w:p>
      <w:pPr>
        <w:pStyle w:val="BodyText"/>
      </w:pPr>
      <w:r>
        <w:rPr>
          <w:b/>
        </w:rPr>
        <w:t xml:space="preserve">Histo</w:t>
      </w:r>
      <w:r>
        <w:t xml:space="preserve"> </w:t>
      </w:r>
      <w:r>
        <w:t xml:space="preserve">The model results: median of posterior estimated coefficients, 95 intervals of credibility, Probability Direction, and % in Rope are shown in the 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70"/>
        <w:gridCol w:w="1132"/>
        <w:gridCol w:w="1083"/>
        <w:gridCol w:w="1169"/>
        <w:gridCol w:w="839"/>
        <w:gridCol w:w="2282"/>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ROPE_Percentage</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Intercept_1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Intercept_2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Intercept_3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StdzArea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Completness Gr (I vs C)</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StdzLn_NAF</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StdzLn_MNC</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 (Pos vs Neg)</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StdzLn_NGR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bl>
    <w:p>
      <w:pPr>
        <w:pStyle w:val="BodyText"/>
      </w:pPr>
      <w:r>
        <w:t xml:space="preserve">Fig.2 report the posterior distributions of estimated coefficents For each predictor, the distribution of the estimate of the regression coefficient is reported and the area corresponding to the values with negative effect and those with positive effect is indicated with different colors. Considering that the total area of the distribution of the values of the coefficients estimates is equal to 1 (100%), it is possible to calculate the area corresponding to the positive and negative values. In this way we obtain a measure of the importance of the effect estimated by the model called P_direction (PD).</w:t>
      </w:r>
    </w:p>
    <w:p>
      <w:pPr>
        <w:pStyle w:val="BodyText"/>
      </w:pPr>
      <w:r>
        <w:drawing>
          <wp:inline>
            <wp:extent cx="5334000" cy="6667500"/>
            <wp:effectExtent b="0" l="0" r="0" t="0"/>
            <wp:docPr descr="" title="" id="1" name="Picture"/>
            <a:graphic>
              <a:graphicData uri="http://schemas.openxmlformats.org/drawingml/2006/picture">
                <pic:pic>
                  <pic:nvPicPr>
                    <pic:cNvPr descr="microti_files/figure-docx/unnamed-chunk-6-1.png" id="0" name="Picture"/>
                    <pic:cNvPicPr>
                      <a:picLocks noChangeArrowheads="1" noChangeAspect="1"/>
                    </pic:cNvPicPr>
                  </pic:nvPicPr>
                  <pic:blipFill>
                    <a:blip r:embed="rId25"/>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The model suggests that as granuloma size increases significantly (the regression coefficient is very far from 0!) the probability that the granuloma is classified in the higher grades of the histological scale.</w:t>
      </w:r>
      <w:r>
        <w:t xml:space="preserve"> </w:t>
      </w:r>
      <w:r>
        <w:t xml:space="preserve">On the contrary, the increase in the number of granulomas in the lymph nodes reduces the probability that the granulomas of that lymph node are of high histological grade. The microbiological state does not seem to be relevant, while according to the model, the probability of granulomas being classified in high degrees decreases as the number of MNCs increases. As for the number of acid-fast bacteria, the model suggests that there is a positive effect, i.e. as the number of bacteria increases, the probability that the granuloma is of high histological grade increases but this result is supported only with a probability of 70%.</w:t>
      </w:r>
      <w:r>
        <w:t xml:space="preserve"> </w:t>
      </w:r>
      <w:r>
        <w:t xml:space="preserve">Finally, incomplete granulomas compared to complete ones are more likely to be classified in high histological grades.</w:t>
      </w:r>
    </w:p>
    <w:p>
      <w:pPr>
        <w:pStyle w:val="BodyText"/>
      </w:pPr>
      <w:r>
        <w:t xml:space="preserve">In this type of models it is more effective to visualize, at least for the most relevant predictors, the marginal effects, i.e. by keeping the other predictor values constant, observing how the probability of a granuloma of being classified in one of the four histological degrees varies as the predictor varies.</w:t>
      </w:r>
    </w:p>
    <w:p>
      <w:pPr>
        <w:pStyle w:val="BodyText"/>
      </w:pPr>
      <w:r>
        <w:t xml:space="preserve">The following graphs show the effects of the predictors: size, number of granulomas, completeness, number of mnc.</w:t>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7-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8-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9-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9" w:name="references"/>
      <w:r>
        <w:t xml:space="preserve">References</w:t>
      </w:r>
      <w:bookmarkEnd w:id="29"/>
    </w:p>
    <w:bookmarkStart w:id="41" w:name="refs"/>
    <w:bookmarkStart w:id="30" w:name="ref-berk2010you"/>
    <w:p>
      <w:pPr>
        <w:pStyle w:val="Bibliography"/>
      </w:pPr>
      <w:r>
        <w:t xml:space="preserve">Berk, Richard. 2010. “What You Can and Can’t Properly Do with Regression.”</w:t>
      </w:r>
      <w:r>
        <w:t xml:space="preserve"> </w:t>
      </w:r>
      <w:r>
        <w:rPr>
          <w:i/>
        </w:rPr>
        <w:t xml:space="preserve">Journal of Quantitative Criminology</w:t>
      </w:r>
      <w:r>
        <w:t xml:space="preserve"> </w:t>
      </w:r>
      <w:r>
        <w:t xml:space="preserve">26 (4): 481–87.</w:t>
      </w:r>
    </w:p>
    <w:bookmarkEnd w:id="30"/>
    <w:bookmarkStart w:id="31" w:name="ref-burkner2017brms"/>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p>
    <w:bookmarkEnd w:id="31"/>
    <w:bookmarkStart w:id="32" w:name="ref-burkner2019ordinal"/>
    <w:p>
      <w:pPr>
        <w:pStyle w:val="Bibliography"/>
      </w:pPr>
      <w:r>
        <w:t xml:space="preserve">Bürkner, Paul-Christian, and Matti Vuorre. 2019. “Ordinal Regression Models in Psychology: A Tutorial.”</w:t>
      </w:r>
      <w:r>
        <w:t xml:space="preserve"> </w:t>
      </w:r>
      <w:r>
        <w:rPr>
          <w:i/>
        </w:rPr>
        <w:t xml:space="preserve">Advances in Methods and Practices in Psychological Science</w:t>
      </w:r>
      <w:r>
        <w:t xml:space="preserve"> </w:t>
      </w:r>
      <w:r>
        <w:t xml:space="preserve">2 (1): 77–101.</w:t>
      </w:r>
    </w:p>
    <w:bookmarkEnd w:id="32"/>
    <w:bookmarkStart w:id="33" w:name="ref-cohen1992statistical"/>
    <w:p>
      <w:pPr>
        <w:pStyle w:val="Bibliography"/>
      </w:pPr>
      <w:r>
        <w:t xml:space="preserve">Cohen, Jacob. 1992. “Statistical Power Analysis.”</w:t>
      </w:r>
      <w:r>
        <w:t xml:space="preserve"> </w:t>
      </w:r>
      <w:r>
        <w:rPr>
          <w:i/>
        </w:rPr>
        <w:t xml:space="preserve">Current Directions in Psychological Science</w:t>
      </w:r>
      <w:r>
        <w:t xml:space="preserve"> </w:t>
      </w:r>
      <w:r>
        <w:t xml:space="preserve">1 (3): 98–101.</w:t>
      </w:r>
    </w:p>
    <w:bookmarkEnd w:id="33"/>
    <w:bookmarkStart w:id="34" w:name="ref-gelman2020regression"/>
    <w:p>
      <w:pPr>
        <w:pStyle w:val="Bibliography"/>
      </w:pPr>
      <w:r>
        <w:t xml:space="preserve">Gelman, Andrew, Jennifer Hill, and Aki Vehtari. 2020.</w:t>
      </w:r>
      <w:r>
        <w:t xml:space="preserve"> </w:t>
      </w:r>
      <w:r>
        <w:rPr>
          <w:i/>
        </w:rPr>
        <w:t xml:space="preserve">Regression and Other Stories</w:t>
      </w:r>
      <w:r>
        <w:t xml:space="preserve">. Cambridge University Press.</w:t>
      </w:r>
    </w:p>
    <w:bookmarkEnd w:id="34"/>
    <w:bookmarkStart w:id="35" w:name="ref-gelman2015stan"/>
    <w:p>
      <w:pPr>
        <w:pStyle w:val="Bibliography"/>
      </w:pPr>
      <w:r>
        <w:t xml:space="preserve">Gelman, Andrew, Daniel Lee, and Jiqiang Guo. 2015. “Stan: A Probabilistic Programming Language for Bayesian Inference and Optimization.”</w:t>
      </w:r>
      <w:r>
        <w:t xml:space="preserve"> </w:t>
      </w:r>
      <w:r>
        <w:rPr>
          <w:i/>
        </w:rPr>
        <w:t xml:space="preserve">Journal of Educational and Behavioral Statistics</w:t>
      </w:r>
      <w:r>
        <w:t xml:space="preserve"> </w:t>
      </w:r>
      <w:r>
        <w:t xml:space="preserve">40 (5): 530–43.</w:t>
      </w:r>
    </w:p>
    <w:bookmarkEnd w:id="35"/>
    <w:bookmarkStart w:id="36" w:name="ref-kruschke2014doing"/>
    <w:p>
      <w:pPr>
        <w:pStyle w:val="Bibliography"/>
      </w:pPr>
      <w:r>
        <w:t xml:space="preserve">Kruschke, John. 2014.</w:t>
      </w:r>
      <w:r>
        <w:t xml:space="preserve"> </w:t>
      </w:r>
      <w:r>
        <w:rPr>
          <w:i/>
        </w:rPr>
        <w:t xml:space="preserve">Doing Bayesian Data Analysis: A Tutorial with R, Jags, and Stan</w:t>
      </w:r>
      <w:r>
        <w:t xml:space="preserve">. Academic Press.</w:t>
      </w:r>
    </w:p>
    <w:bookmarkEnd w:id="36"/>
    <w:bookmarkStart w:id="37" w:name="ref-makowski2019indices"/>
    <w:p>
      <w:pPr>
        <w:pStyle w:val="Bibliography"/>
      </w:pPr>
      <w:r>
        <w:t xml:space="preserve">Makowski, Dominique, Mattan S Ben-Shachar, SH Chen, and Daniel Lüdecke. 2019. “Indices of Effect Existence and Significance in the Bayesian Framework.”</w:t>
      </w:r>
      <w:r>
        <w:t xml:space="preserve"> </w:t>
      </w:r>
      <w:r>
        <w:rPr>
          <w:i/>
        </w:rPr>
        <w:t xml:space="preserve">Frontiers in Psychology</w:t>
      </w:r>
      <w:r>
        <w:t xml:space="preserve"> </w:t>
      </w:r>
      <w:r>
        <w:t xml:space="preserve">10: 2767.</w:t>
      </w:r>
    </w:p>
    <w:bookmarkEnd w:id="37"/>
    <w:bookmarkStart w:id="38" w:name="ref-mcelreath2020statistical"/>
    <w:p>
      <w:pPr>
        <w:pStyle w:val="Bibliography"/>
      </w:pPr>
      <w:r>
        <w:t xml:space="preserve">McElreath, Richard. 2020.</w:t>
      </w:r>
      <w:r>
        <w:t xml:space="preserve"> </w:t>
      </w:r>
      <w:r>
        <w:rPr>
          <w:i/>
        </w:rPr>
        <w:t xml:space="preserve">Statistical Rethinking: A Bayesian Course with Examples in R and Stan</w:t>
      </w:r>
      <w:r>
        <w:t xml:space="preserve">. CRC press.</w:t>
      </w:r>
    </w:p>
    <w:bookmarkEnd w:id="38"/>
    <w:bookmarkStart w:id="39" w:name="ref-team2016rstan"/>
    <w:p>
      <w:pPr>
        <w:pStyle w:val="Bibliography"/>
      </w:pPr>
      <w:r>
        <w:t xml:space="preserve">Team, Stan Developent, and others. 2016. “RStan: The R Interface to Stan.”</w:t>
      </w:r>
      <w:r>
        <w:t xml:space="preserve"> </w:t>
      </w:r>
      <w:r>
        <w:rPr>
          <w:i/>
        </w:rPr>
        <w:t xml:space="preserve">R Package Version</w:t>
      </w:r>
      <w:r>
        <w:t xml:space="preserve"> </w:t>
      </w:r>
      <w:r>
        <w:t xml:space="preserve">2 (1).</w:t>
      </w:r>
    </w:p>
    <w:bookmarkEnd w:id="39"/>
    <w:bookmarkStart w:id="40" w:name="ref-tutz1997sequential"/>
    <w:p>
      <w:pPr>
        <w:pStyle w:val="Bibliography"/>
      </w:pPr>
      <w:r>
        <w:t xml:space="preserve">Tutz, Gerhard. 1997. “Sequential Models for Ordered Responses.” In</w:t>
      </w:r>
      <w:r>
        <w:t xml:space="preserve"> </w:t>
      </w:r>
      <w:r>
        <w:rPr>
          <w:i/>
        </w:rPr>
        <w:t xml:space="preserve">Handbook of Modern Item Response Theory</w:t>
      </w:r>
      <w:r>
        <w:t xml:space="preserve">, 139–52. Springer.</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2020-11-14T09:53:36Z</dcterms:created>
  <dcterms:modified xsi:type="dcterms:W3CDTF">2020-11-14T09:53:36Z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