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05" w:rsidRDefault="00F40105" w:rsidP="00F40105">
      <w:pPr>
        <w:autoSpaceDE w:val="0"/>
        <w:autoSpaceDN w:val="0"/>
        <w:adjustRightInd w:val="0"/>
        <w:spacing w:after="180" w:line="240" w:lineRule="auto"/>
        <w:jc w:val="center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PIAO 2022-2024</w:t>
      </w:r>
    </w:p>
    <w:p w:rsidR="00F40105" w:rsidRDefault="00F40105" w:rsidP="00674B43">
      <w:pPr>
        <w:autoSpaceDE w:val="0"/>
        <w:autoSpaceDN w:val="0"/>
        <w:adjustRightInd w:val="0"/>
        <w:spacing w:after="180" w:line="240" w:lineRule="auto"/>
        <w:jc w:val="center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Sezione Performance</w:t>
      </w:r>
    </w:p>
    <w:p w:rsidR="004B2E46" w:rsidRDefault="00F40105">
      <w:pPr>
        <w:autoSpaceDE w:val="0"/>
        <w:autoSpaceDN w:val="0"/>
        <w:adjustRightInd w:val="0"/>
        <w:spacing w:after="180" w:line="240" w:lineRule="auto"/>
        <w:jc w:val="center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Anticipazione sintetica dei r</w:t>
      </w:r>
      <w:r w:rsidR="004B2E46">
        <w:rPr>
          <w:rFonts w:ascii="Helvetica" w:hAnsi="Helvetica" w:cs="Helvetica"/>
          <w:b/>
          <w:bCs/>
          <w:sz w:val="36"/>
          <w:szCs w:val="36"/>
        </w:rPr>
        <w:t>isultati</w:t>
      </w:r>
      <w:r>
        <w:rPr>
          <w:rFonts w:ascii="Helvetica" w:hAnsi="Helvetica" w:cs="Helvetica"/>
          <w:b/>
          <w:bCs/>
          <w:sz w:val="36"/>
          <w:szCs w:val="36"/>
        </w:rPr>
        <w:t xml:space="preserve"> di Performance</w:t>
      </w:r>
    </w:p>
    <w:p w:rsidR="004B2E46" w:rsidRDefault="004B2E46">
      <w:pPr>
        <w:autoSpaceDE w:val="0"/>
        <w:autoSpaceDN w:val="0"/>
        <w:adjustRightInd w:val="0"/>
        <w:spacing w:after="18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Controllo di Gestione e Performance</w:t>
      </w:r>
      <w:r w:rsidR="00F40105">
        <w:rPr>
          <w:rFonts w:ascii="Helvetica" w:hAnsi="Helvetica" w:cs="Helvetica"/>
          <w:sz w:val="24"/>
          <w:szCs w:val="24"/>
        </w:rPr>
        <w:t xml:space="preserve"> (COGEP)</w:t>
      </w:r>
    </w:p>
    <w:p w:rsidR="004B2E46" w:rsidRDefault="004B2E46" w:rsidP="00674B43">
      <w:pPr>
        <w:autoSpaceDE w:val="0"/>
        <w:autoSpaceDN w:val="0"/>
        <w:adjustRightInd w:val="0"/>
        <w:spacing w:after="180" w:line="240" w:lineRule="auto"/>
        <w:jc w:val="center"/>
        <w:rPr>
          <w:rFonts w:ascii="Helvetica" w:hAnsi="Helvetica" w:cs="Helvetica"/>
          <w:sz w:val="24"/>
          <w:szCs w:val="24"/>
        </w:rPr>
      </w:pPr>
    </w:p>
    <w:p w:rsidR="004B2E46" w:rsidRDefault="004B2E46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Introduzione</w:t>
      </w:r>
    </w:p>
    <w:p w:rsidR="00741204" w:rsidRPr="00741204" w:rsidRDefault="003C108D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F40105">
        <w:rPr>
          <w:sz w:val="32"/>
          <w:szCs w:val="32"/>
        </w:rPr>
        <w:t xml:space="preserve">Il sistema delle Performance adottato prevede </w:t>
      </w:r>
      <w:r w:rsidR="004B257D" w:rsidRPr="00F40105">
        <w:rPr>
          <w:sz w:val="32"/>
          <w:szCs w:val="32"/>
        </w:rPr>
        <w:t>5</w:t>
      </w:r>
      <w:r w:rsidR="00A96DC3" w:rsidRPr="00F40105">
        <w:rPr>
          <w:sz w:val="32"/>
          <w:szCs w:val="32"/>
        </w:rPr>
        <w:t xml:space="preserve"> </w:t>
      </w:r>
      <w:r w:rsidRPr="00F40105">
        <w:rPr>
          <w:sz w:val="32"/>
          <w:szCs w:val="32"/>
        </w:rPr>
        <w:t>Aree strategiche d’intervento da cui sono stati declinati complessivamente</w:t>
      </w:r>
      <w:r w:rsidR="00912B37">
        <w:rPr>
          <w:sz w:val="24"/>
          <w:szCs w:val="24"/>
        </w:rPr>
        <w:t xml:space="preserve"> </w:t>
      </w:r>
      <w:r w:rsidR="00912B37" w:rsidRPr="00912B37">
        <w:rPr>
          <w:sz w:val="32"/>
          <w:szCs w:val="32"/>
        </w:rPr>
        <w:t>17</w:t>
      </w:r>
      <w:r w:rsidRPr="00674B43">
        <w:rPr>
          <w:sz w:val="32"/>
          <w:szCs w:val="32"/>
        </w:rPr>
        <w:t xml:space="preserve"> Obiettivi</w:t>
      </w:r>
      <w:r w:rsidR="007C5F2E" w:rsidRPr="00674B43">
        <w:rPr>
          <w:sz w:val="32"/>
          <w:szCs w:val="32"/>
        </w:rPr>
        <w:t xml:space="preserve"> generali</w:t>
      </w:r>
      <w:r w:rsidRPr="00674B43">
        <w:rPr>
          <w:sz w:val="32"/>
          <w:szCs w:val="32"/>
        </w:rPr>
        <w:t xml:space="preserve">, </w:t>
      </w:r>
      <w:r w:rsidR="00671405">
        <w:rPr>
          <w:sz w:val="32"/>
          <w:szCs w:val="32"/>
        </w:rPr>
        <w:t>73</w:t>
      </w:r>
      <w:r w:rsidR="00671405">
        <w:rPr>
          <w:sz w:val="32"/>
          <w:szCs w:val="32"/>
        </w:rPr>
        <w:t xml:space="preserve"> </w:t>
      </w:r>
      <w:r w:rsidR="007C5F2E" w:rsidRPr="00674B43">
        <w:rPr>
          <w:sz w:val="32"/>
          <w:szCs w:val="32"/>
        </w:rPr>
        <w:t>Obiettivi Operativi</w:t>
      </w:r>
      <w:r w:rsidR="00671405">
        <w:rPr>
          <w:sz w:val="32"/>
          <w:szCs w:val="32"/>
        </w:rPr>
        <w:t xml:space="preserve"> e 91 </w:t>
      </w:r>
      <w:bookmarkStart w:id="0" w:name="_GoBack"/>
      <w:bookmarkEnd w:id="0"/>
      <w:r w:rsidR="007C5F2E" w:rsidRPr="00674B43">
        <w:rPr>
          <w:sz w:val="32"/>
          <w:szCs w:val="32"/>
        </w:rPr>
        <w:t>Indicator</w:t>
      </w:r>
      <w:r w:rsidR="00671405">
        <w:rPr>
          <w:sz w:val="32"/>
          <w:szCs w:val="32"/>
        </w:rPr>
        <w:t xml:space="preserve">i. </w:t>
      </w:r>
    </w:p>
    <w:p w:rsidR="0048251C" w:rsidRDefault="004B2E46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Livello Sintetico di Ente</w:t>
      </w:r>
    </w:p>
    <w:p w:rsidR="0018194E" w:rsidRPr="00674B43" w:rsidRDefault="003C108D" w:rsidP="0018194E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674B43">
        <w:rPr>
          <w:sz w:val="32"/>
          <w:szCs w:val="32"/>
        </w:rPr>
        <w:t>Il grado di raggiungimento medio degli obiettivi al 3</w:t>
      </w:r>
      <w:r w:rsidR="007C5F2E" w:rsidRPr="00674B43">
        <w:rPr>
          <w:sz w:val="32"/>
          <w:szCs w:val="32"/>
        </w:rPr>
        <w:t>1.12</w:t>
      </w:r>
      <w:r w:rsidRPr="00674B43">
        <w:rPr>
          <w:sz w:val="32"/>
          <w:szCs w:val="32"/>
        </w:rPr>
        <w:t>.202</w:t>
      </w:r>
      <w:r w:rsidR="007C5F2E" w:rsidRPr="00674B43">
        <w:rPr>
          <w:sz w:val="32"/>
          <w:szCs w:val="32"/>
        </w:rPr>
        <w:t>2</w:t>
      </w:r>
      <w:r w:rsidRPr="00674B43">
        <w:rPr>
          <w:sz w:val="32"/>
          <w:szCs w:val="32"/>
        </w:rPr>
        <w:t xml:space="preserve">, è complessivamente pari al </w:t>
      </w:r>
      <w:r w:rsidR="007C5F2E" w:rsidRPr="00674B43">
        <w:rPr>
          <w:sz w:val="32"/>
          <w:szCs w:val="32"/>
        </w:rPr>
        <w:t>97.2</w:t>
      </w:r>
      <w:r w:rsidRPr="00674B43">
        <w:rPr>
          <w:sz w:val="32"/>
          <w:szCs w:val="32"/>
        </w:rPr>
        <w:t>%</w:t>
      </w:r>
    </w:p>
    <w:p w:rsidR="007F61C5" w:rsidRPr="00DC06B7" w:rsidRDefault="00095710" w:rsidP="007C5F2E">
      <w:pPr>
        <w:autoSpaceDE w:val="0"/>
        <w:autoSpaceDN w:val="0"/>
        <w:adjustRightInd w:val="0"/>
        <w:spacing w:after="180" w:line="240" w:lineRule="auto"/>
        <w:jc w:val="center"/>
        <w:outlineLvl w:val="0"/>
        <w:rPr>
          <w:sz w:val="24"/>
          <w:szCs w:val="24"/>
        </w:rPr>
      </w:pPr>
      <w:r w:rsidRPr="00DC06B7">
        <w:rPr>
          <w:noProof/>
          <w:sz w:val="24"/>
          <w:szCs w:val="24"/>
        </w:rPr>
        <w:drawing>
          <wp:inline distT="0" distB="0" distL="0" distR="0">
            <wp:extent cx="2019300" cy="138496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30" cy="13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D9" w:rsidRPr="00674B43" w:rsidRDefault="00A96DC3" w:rsidP="00674B43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674B43">
        <w:rPr>
          <w:sz w:val="32"/>
          <w:szCs w:val="32"/>
        </w:rPr>
        <w:t>Nella seguente tabella è riportato il grado % di raggiungimento medio degli obiettivi delle diverse aree strategiche</w:t>
      </w:r>
    </w:p>
    <w:p w:rsidR="00A96DC3" w:rsidRDefault="00A96DC3" w:rsidP="00A96DC3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A96DC3" w:rsidRPr="00A96DC3" w:rsidRDefault="00516684" w:rsidP="00A96DC3">
      <w:pPr>
        <w:rPr>
          <w:rFonts w:ascii="Helvetica" w:hAnsi="Helvetica" w:cs="Helvetic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CD78A34" wp14:editId="03DDC1DD">
            <wp:simplePos x="0" y="0"/>
            <wp:positionH relativeFrom="margin">
              <wp:align>center</wp:align>
            </wp:positionH>
            <wp:positionV relativeFrom="paragraph">
              <wp:posOffset>-429260</wp:posOffset>
            </wp:positionV>
            <wp:extent cx="3632200" cy="2435860"/>
            <wp:effectExtent l="0" t="0" r="6350" b="2540"/>
            <wp:wrapSquare wrapText="right"/>
            <wp:docPr id="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DC3" w:rsidRPr="00A96DC3" w:rsidRDefault="00A96DC3" w:rsidP="00A96DC3">
      <w:pPr>
        <w:rPr>
          <w:rFonts w:ascii="Helvetica" w:hAnsi="Helvetica" w:cs="Helvetica"/>
          <w:sz w:val="36"/>
          <w:szCs w:val="36"/>
        </w:rPr>
      </w:pPr>
    </w:p>
    <w:p w:rsidR="00A96DC3" w:rsidRPr="00A96DC3" w:rsidRDefault="00A96DC3" w:rsidP="00A96DC3">
      <w:pPr>
        <w:rPr>
          <w:rFonts w:ascii="Helvetica" w:hAnsi="Helvetica" w:cs="Helvetica"/>
          <w:sz w:val="36"/>
          <w:szCs w:val="36"/>
        </w:rPr>
      </w:pPr>
    </w:p>
    <w:p w:rsidR="00AF6D57" w:rsidRDefault="00AF6D57" w:rsidP="00516684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E44FE9" w:rsidRDefault="004B2E46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lastRenderedPageBreak/>
        <w:t>Perfo</w:t>
      </w:r>
      <w:r w:rsidR="00385817">
        <w:rPr>
          <w:rFonts w:ascii="Helvetica" w:hAnsi="Helvetica" w:cs="Helvetica"/>
          <w:b/>
          <w:bCs/>
          <w:sz w:val="36"/>
          <w:szCs w:val="36"/>
        </w:rPr>
        <w:t>r</w:t>
      </w:r>
      <w:r>
        <w:rPr>
          <w:rFonts w:ascii="Helvetica" w:hAnsi="Helvetica" w:cs="Helvetica"/>
          <w:b/>
          <w:bCs/>
          <w:sz w:val="36"/>
          <w:szCs w:val="36"/>
        </w:rPr>
        <w:t>mance Organizzativa</w:t>
      </w:r>
    </w:p>
    <w:p w:rsidR="00DC06B7" w:rsidRDefault="00095710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  <w:r w:rsidRPr="0051668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574675</wp:posOffset>
                </wp:positionV>
                <wp:extent cx="6589395" cy="2423795"/>
                <wp:effectExtent l="0" t="0" r="0" b="0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242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6B7" w:rsidRDefault="000957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48400" cy="2209800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0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21.45pt;margin-top:45.25pt;width:518.85pt;height:190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">
                <v:textbox>
                  <w:txbxContent>
                    <w:p w:rsidR="00DC06B7" w:rsidRDefault="0009571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248400" cy="2209800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0" cy="220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FE9" w:rsidRPr="00516684">
        <w:rPr>
          <w:sz w:val="32"/>
          <w:szCs w:val="32"/>
        </w:rPr>
        <w:t>Nella seguente tabella è riportato il grado</w:t>
      </w:r>
      <w:r w:rsidR="000949E0" w:rsidRPr="00516684">
        <w:rPr>
          <w:sz w:val="32"/>
          <w:szCs w:val="32"/>
        </w:rPr>
        <w:t xml:space="preserve"> %  </w:t>
      </w:r>
      <w:r w:rsidR="00E44FE9" w:rsidRPr="00516684">
        <w:rPr>
          <w:sz w:val="32"/>
          <w:szCs w:val="32"/>
        </w:rPr>
        <w:t xml:space="preserve"> di raggiungimento </w:t>
      </w:r>
      <w:r w:rsidR="000949E0" w:rsidRPr="00516684">
        <w:rPr>
          <w:sz w:val="32"/>
          <w:szCs w:val="32"/>
        </w:rPr>
        <w:t xml:space="preserve">medio </w:t>
      </w:r>
      <w:r w:rsidR="00E44FE9" w:rsidRPr="00516684">
        <w:rPr>
          <w:sz w:val="32"/>
          <w:szCs w:val="32"/>
        </w:rPr>
        <w:t xml:space="preserve">degli obiettivi </w:t>
      </w:r>
      <w:r w:rsidR="000949E0" w:rsidRPr="00516684">
        <w:rPr>
          <w:sz w:val="32"/>
          <w:szCs w:val="32"/>
        </w:rPr>
        <w:t>delle Aree Strategiche</w:t>
      </w:r>
      <w:r w:rsidR="00E44FE9" w:rsidRPr="00516684">
        <w:rPr>
          <w:sz w:val="32"/>
          <w:szCs w:val="32"/>
        </w:rPr>
        <w:t xml:space="preserve"> nei differenti Dipartimenti assegnatari.</w:t>
      </w:r>
    </w:p>
    <w:p w:rsidR="00DC06B7" w:rsidRDefault="00DC06B7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4B2E46" w:rsidRDefault="004B2E46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Performance Individuale</w:t>
      </w:r>
    </w:p>
    <w:p w:rsidR="00E64DEB" w:rsidRPr="00516684" w:rsidRDefault="00E64DEB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516684">
        <w:rPr>
          <w:sz w:val="32"/>
          <w:szCs w:val="32"/>
        </w:rPr>
        <w:t>Le schede di valutazione individuali sono state redatte in conformità alle metodologie indicate del “Sistema di misurazione e valutazione della Performance”. In base alla normativa vigente e agli accordi aziendali, i responsabili di struttura hanno regolarmente provveduto alla valutazione del personale dirigente e di comparto della relativa struttura di appartenenza.</w:t>
      </w:r>
    </w:p>
    <w:p w:rsidR="00E64DEB" w:rsidRPr="00516684" w:rsidRDefault="00E64DEB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516684">
        <w:rPr>
          <w:sz w:val="32"/>
          <w:szCs w:val="32"/>
        </w:rPr>
        <w:t>Il processo di valutazione nell’anno 202</w:t>
      </w:r>
      <w:r w:rsidR="00452490" w:rsidRPr="00516684">
        <w:rPr>
          <w:sz w:val="32"/>
          <w:szCs w:val="32"/>
        </w:rPr>
        <w:t>2</w:t>
      </w:r>
      <w:r w:rsidRPr="00516684">
        <w:rPr>
          <w:sz w:val="32"/>
          <w:szCs w:val="32"/>
        </w:rPr>
        <w:t xml:space="preserve"> ha coinvolto: </w:t>
      </w:r>
    </w:p>
    <w:p w:rsidR="00E64DEB" w:rsidRPr="00516684" w:rsidRDefault="00E64DEB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516684">
        <w:rPr>
          <w:sz w:val="32"/>
          <w:szCs w:val="32"/>
        </w:rPr>
        <w:t>n</w:t>
      </w:r>
      <w:r w:rsidR="008C6A84" w:rsidRPr="00516684">
        <w:rPr>
          <w:sz w:val="32"/>
          <w:szCs w:val="32"/>
        </w:rPr>
        <w:t>.43</w:t>
      </w:r>
      <w:r w:rsidRPr="00516684">
        <w:rPr>
          <w:sz w:val="32"/>
          <w:szCs w:val="32"/>
        </w:rPr>
        <w:t xml:space="preserve"> Valutatori; </w:t>
      </w:r>
    </w:p>
    <w:p w:rsidR="00E64DEB" w:rsidRPr="00516684" w:rsidRDefault="00E64DEB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516684">
        <w:rPr>
          <w:sz w:val="32"/>
          <w:szCs w:val="32"/>
        </w:rPr>
        <w:t>n.</w:t>
      </w:r>
      <w:r w:rsidR="00452490" w:rsidRPr="00516684">
        <w:rPr>
          <w:sz w:val="32"/>
          <w:szCs w:val="32"/>
        </w:rPr>
        <w:t>673</w:t>
      </w:r>
      <w:r w:rsidRPr="00516684">
        <w:rPr>
          <w:sz w:val="32"/>
          <w:szCs w:val="32"/>
        </w:rPr>
        <w:t xml:space="preserve"> dipendenti di cui: </w:t>
      </w:r>
    </w:p>
    <w:p w:rsidR="00E64DEB" w:rsidRPr="00516684" w:rsidRDefault="00E64DEB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516684">
        <w:rPr>
          <w:sz w:val="32"/>
          <w:szCs w:val="32"/>
        </w:rPr>
        <w:t>n.</w:t>
      </w:r>
      <w:r w:rsidR="00295983" w:rsidRPr="00516684">
        <w:rPr>
          <w:sz w:val="32"/>
          <w:szCs w:val="32"/>
        </w:rPr>
        <w:t>129</w:t>
      </w:r>
      <w:r w:rsidRPr="00516684">
        <w:rPr>
          <w:sz w:val="32"/>
          <w:szCs w:val="32"/>
        </w:rPr>
        <w:t xml:space="preserve"> dipendenti Dirigenti; </w:t>
      </w:r>
    </w:p>
    <w:p w:rsidR="00E64DEB" w:rsidRPr="00516684" w:rsidRDefault="00E64DEB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516684">
        <w:rPr>
          <w:sz w:val="32"/>
          <w:szCs w:val="32"/>
        </w:rPr>
        <w:t>n</w:t>
      </w:r>
      <w:r w:rsidR="00295983" w:rsidRPr="00516684">
        <w:rPr>
          <w:sz w:val="32"/>
          <w:szCs w:val="32"/>
        </w:rPr>
        <w:t>.523</w:t>
      </w:r>
      <w:r w:rsidR="00452490" w:rsidRPr="00516684">
        <w:rPr>
          <w:sz w:val="32"/>
          <w:szCs w:val="32"/>
        </w:rPr>
        <w:t xml:space="preserve"> </w:t>
      </w:r>
      <w:r w:rsidRPr="00516684">
        <w:rPr>
          <w:sz w:val="32"/>
          <w:szCs w:val="32"/>
        </w:rPr>
        <w:t xml:space="preserve">dipendenti del Comparto. </w:t>
      </w:r>
    </w:p>
    <w:p w:rsidR="00951895" w:rsidRPr="00516684" w:rsidRDefault="00E64DEB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516684">
        <w:rPr>
          <w:sz w:val="32"/>
          <w:szCs w:val="32"/>
        </w:rPr>
        <w:t>Nei seguenti grafici è riportata la distribuzione complessiva dei punteggi di valutazione del personale IZSLER ottenuti nel 202</w:t>
      </w:r>
      <w:r w:rsidR="00452490" w:rsidRPr="00516684">
        <w:rPr>
          <w:sz w:val="32"/>
          <w:szCs w:val="32"/>
        </w:rPr>
        <w:t>2</w:t>
      </w:r>
      <w:r w:rsidRPr="00516684">
        <w:rPr>
          <w:sz w:val="32"/>
          <w:szCs w:val="32"/>
        </w:rPr>
        <w:t xml:space="preserve"> e suddivisa per la dirigenza e per il personale di comparto</w:t>
      </w:r>
    </w:p>
    <w:p w:rsidR="00E64DEB" w:rsidRDefault="008563C3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6332220" cy="35731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72" w:rsidRDefault="00363572">
      <w:pPr>
        <w:autoSpaceDE w:val="0"/>
        <w:autoSpaceDN w:val="0"/>
        <w:adjustRightInd w:val="0"/>
        <w:spacing w:after="180" w:line="240" w:lineRule="auto"/>
        <w:outlineLvl w:val="0"/>
      </w:pPr>
    </w:p>
    <w:p w:rsidR="003D28CC" w:rsidRDefault="003D28CC">
      <w:pPr>
        <w:autoSpaceDE w:val="0"/>
        <w:autoSpaceDN w:val="0"/>
        <w:adjustRightInd w:val="0"/>
        <w:spacing w:after="180" w:line="240" w:lineRule="auto"/>
        <w:outlineLvl w:val="0"/>
      </w:pPr>
    </w:p>
    <w:p w:rsidR="00E64DEB" w:rsidRPr="00516684" w:rsidRDefault="002963BD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516684">
        <w:rPr>
          <w:sz w:val="32"/>
          <w:szCs w:val="32"/>
        </w:rPr>
        <w:t xml:space="preserve">In tabella è riportato il confronto tra le statistiche descrittive della valutazione del personale IZSLER nel </w:t>
      </w:r>
      <w:r w:rsidR="00403106" w:rsidRPr="00516684">
        <w:rPr>
          <w:sz w:val="32"/>
          <w:szCs w:val="32"/>
        </w:rPr>
        <w:t>periodo</w:t>
      </w:r>
      <w:r w:rsidRPr="00516684">
        <w:rPr>
          <w:sz w:val="32"/>
          <w:szCs w:val="32"/>
        </w:rPr>
        <w:t xml:space="preserve"> 2019-202</w:t>
      </w:r>
      <w:r w:rsidR="00452490" w:rsidRPr="00516684">
        <w:rPr>
          <w:sz w:val="32"/>
          <w:szCs w:val="32"/>
        </w:rPr>
        <w:t>2</w:t>
      </w:r>
      <w:r w:rsidRPr="00516684">
        <w:rPr>
          <w:sz w:val="32"/>
          <w:szCs w:val="32"/>
        </w:rPr>
        <w:t xml:space="preserve">. </w:t>
      </w:r>
    </w:p>
    <w:p w:rsidR="00951895" w:rsidRDefault="00095710" w:rsidP="00452490">
      <w:pPr>
        <w:autoSpaceDE w:val="0"/>
        <w:autoSpaceDN w:val="0"/>
        <w:adjustRightInd w:val="0"/>
        <w:spacing w:after="180" w:line="240" w:lineRule="auto"/>
        <w:jc w:val="center"/>
        <w:outlineLvl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noProof/>
          <w:sz w:val="36"/>
          <w:szCs w:val="36"/>
        </w:rPr>
        <w:drawing>
          <wp:inline distT="0" distB="0" distL="0" distR="0">
            <wp:extent cx="6134100" cy="23876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72" w:rsidRDefault="00363572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3B43A0" w:rsidRDefault="003B43A0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3B43A0" w:rsidRDefault="003B43A0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503021" w:rsidRPr="008563C3" w:rsidRDefault="003B43A0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2937D9">
        <w:rPr>
          <w:sz w:val="32"/>
          <w:szCs w:val="32"/>
        </w:rPr>
        <w:lastRenderedPageBreak/>
        <w:t>Il seguente grafico</w:t>
      </w:r>
      <w:r w:rsidR="002937D9">
        <w:rPr>
          <w:sz w:val="32"/>
          <w:szCs w:val="32"/>
        </w:rPr>
        <w:t xml:space="preserve"> illustra la variabilità dei punteggi assegnati al personale di comparto e della dirigenza nel periodo 2019-2022</w:t>
      </w:r>
      <w:r w:rsidR="008563C3">
        <w:rPr>
          <w:sz w:val="32"/>
          <w:szCs w:val="32"/>
        </w:rPr>
        <w:t xml:space="preserve"> (il punto rosso indica la mediana delle osservazioni)</w:t>
      </w:r>
      <w:r w:rsidR="002937D9">
        <w:rPr>
          <w:sz w:val="32"/>
          <w:szCs w:val="32"/>
        </w:rPr>
        <w:t>. Si osserva come negli anni</w:t>
      </w:r>
      <w:r w:rsidR="00F61C22">
        <w:rPr>
          <w:sz w:val="32"/>
          <w:szCs w:val="32"/>
        </w:rPr>
        <w:t>, sebbene il range di valutazioni risulta sempre piuttosto compresso tra 85 e 100, risulti</w:t>
      </w:r>
      <w:r w:rsidR="002937D9">
        <w:rPr>
          <w:sz w:val="32"/>
          <w:szCs w:val="32"/>
        </w:rPr>
        <w:t xml:space="preserve"> aumentata la propensione alla differenziazione della valutazione da parte dei valutatori, propensione che risulta più marcata per le valutazioni del personale della dirigenza</w:t>
      </w:r>
      <w:r w:rsidR="00F61C22">
        <w:rPr>
          <w:sz w:val="32"/>
          <w:szCs w:val="32"/>
        </w:rPr>
        <w:t xml:space="preserve">. </w:t>
      </w:r>
    </w:p>
    <w:p w:rsidR="00503021" w:rsidRDefault="00503021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noProof/>
          <w:sz w:val="36"/>
          <w:szCs w:val="36"/>
        </w:rPr>
        <w:drawing>
          <wp:inline distT="0" distB="0" distL="0" distR="0">
            <wp:extent cx="6405074" cy="5359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676" cy="53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22" w:rsidRDefault="00F61C22" w:rsidP="00363572">
      <w:pPr>
        <w:autoSpaceDE w:val="0"/>
        <w:autoSpaceDN w:val="0"/>
        <w:adjustRightInd w:val="0"/>
        <w:spacing w:after="180" w:line="240" w:lineRule="auto"/>
        <w:outlineLvl w:val="0"/>
      </w:pPr>
    </w:p>
    <w:p w:rsidR="00363572" w:rsidRPr="00F61C22" w:rsidRDefault="00363572" w:rsidP="00363572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F61C22">
        <w:rPr>
          <w:sz w:val="32"/>
          <w:szCs w:val="32"/>
        </w:rPr>
        <w:t>In tabella è riportato il confronto tra le statistiche descrittive della valutazione del personale dirigente IZSLER nel triennio 2019-202</w:t>
      </w:r>
      <w:r w:rsidR="004B257D" w:rsidRPr="00F61C22">
        <w:rPr>
          <w:sz w:val="32"/>
          <w:szCs w:val="32"/>
        </w:rPr>
        <w:t>2</w:t>
      </w:r>
      <w:r w:rsidRPr="00F61C22">
        <w:rPr>
          <w:sz w:val="32"/>
          <w:szCs w:val="32"/>
        </w:rPr>
        <w:t xml:space="preserve">. </w:t>
      </w:r>
    </w:p>
    <w:p w:rsidR="00363572" w:rsidRDefault="004B257D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6220693" cy="2324424"/>
            <wp:effectExtent l="0" t="0" r="889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72" w:rsidRDefault="00363572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363572" w:rsidRDefault="00363572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4B257D" w:rsidRPr="00F61C22" w:rsidRDefault="00363572" w:rsidP="00363572">
      <w:pPr>
        <w:autoSpaceDE w:val="0"/>
        <w:autoSpaceDN w:val="0"/>
        <w:adjustRightInd w:val="0"/>
        <w:spacing w:after="180" w:line="240" w:lineRule="auto"/>
        <w:outlineLvl w:val="0"/>
        <w:rPr>
          <w:sz w:val="32"/>
          <w:szCs w:val="32"/>
        </w:rPr>
      </w:pPr>
      <w:r w:rsidRPr="00F61C22">
        <w:rPr>
          <w:sz w:val="32"/>
          <w:szCs w:val="32"/>
        </w:rPr>
        <w:t xml:space="preserve">In tabella è riportato il confronto tra le statistiche descrittive della valutazione del personale di comparto </w:t>
      </w:r>
      <w:proofErr w:type="gramStart"/>
      <w:r w:rsidRPr="00F61C22">
        <w:rPr>
          <w:sz w:val="32"/>
          <w:szCs w:val="32"/>
        </w:rPr>
        <w:t>dell’ IZSLER</w:t>
      </w:r>
      <w:proofErr w:type="gramEnd"/>
      <w:r w:rsidRPr="00F61C22">
        <w:rPr>
          <w:sz w:val="32"/>
          <w:szCs w:val="32"/>
        </w:rPr>
        <w:t xml:space="preserve"> nel triennio 2019-202</w:t>
      </w:r>
      <w:r w:rsidR="004B257D" w:rsidRPr="00F61C22">
        <w:rPr>
          <w:sz w:val="32"/>
          <w:szCs w:val="32"/>
        </w:rPr>
        <w:t>2</w:t>
      </w:r>
      <w:r w:rsidRPr="00F61C22">
        <w:rPr>
          <w:sz w:val="32"/>
          <w:szCs w:val="32"/>
        </w:rPr>
        <w:t xml:space="preserve">. </w:t>
      </w:r>
    </w:p>
    <w:p w:rsidR="003B1EB2" w:rsidRDefault="004B257D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noProof/>
          <w:sz w:val="36"/>
          <w:szCs w:val="36"/>
        </w:rPr>
        <w:drawing>
          <wp:inline distT="0" distB="0" distL="0" distR="0">
            <wp:extent cx="6296904" cy="2419688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B2" w:rsidRDefault="003B1EB2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3B1EB2" w:rsidRDefault="003B1EB2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60793C" w:rsidRDefault="0060793C">
      <w:pPr>
        <w:autoSpaceDE w:val="0"/>
        <w:autoSpaceDN w:val="0"/>
        <w:adjustRightInd w:val="0"/>
        <w:spacing w:after="180" w:line="240" w:lineRule="auto"/>
        <w:outlineLvl w:val="0"/>
        <w:rPr>
          <w:rFonts w:cs="Calibri"/>
          <w:bCs/>
        </w:rPr>
      </w:pPr>
    </w:p>
    <w:p w:rsidR="00F71CA8" w:rsidRDefault="00F71CA8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580B36" w:rsidRDefault="00580B36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580B36" w:rsidRDefault="00580B36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580B36" w:rsidRDefault="00580B36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F71CA8" w:rsidRDefault="00F71CA8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F71CA8" w:rsidRDefault="00F71CA8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p w:rsidR="004B2E46" w:rsidRDefault="004B2E46">
      <w:pPr>
        <w:autoSpaceDE w:val="0"/>
        <w:autoSpaceDN w:val="0"/>
        <w:adjustRightInd w:val="0"/>
        <w:spacing w:after="180" w:line="240" w:lineRule="auto"/>
        <w:outlineLvl w:val="0"/>
        <w:rPr>
          <w:rFonts w:ascii="Helvetica" w:hAnsi="Helvetica" w:cs="Helvetica"/>
          <w:b/>
          <w:bCs/>
          <w:sz w:val="36"/>
          <w:szCs w:val="36"/>
        </w:rPr>
      </w:pPr>
    </w:p>
    <w:sectPr w:rsidR="004B2E46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1C"/>
    <w:rsid w:val="000407C2"/>
    <w:rsid w:val="00047B23"/>
    <w:rsid w:val="00047D9C"/>
    <w:rsid w:val="000650FE"/>
    <w:rsid w:val="00092C21"/>
    <w:rsid w:val="000949E0"/>
    <w:rsid w:val="00095710"/>
    <w:rsid w:val="000A6119"/>
    <w:rsid w:val="000D0BED"/>
    <w:rsid w:val="0018194E"/>
    <w:rsid w:val="00191563"/>
    <w:rsid w:val="0028345E"/>
    <w:rsid w:val="002937D9"/>
    <w:rsid w:val="00295983"/>
    <w:rsid w:val="002963BD"/>
    <w:rsid w:val="002A1313"/>
    <w:rsid w:val="002C4CCC"/>
    <w:rsid w:val="00342669"/>
    <w:rsid w:val="00363572"/>
    <w:rsid w:val="00374F1D"/>
    <w:rsid w:val="0037740A"/>
    <w:rsid w:val="00385817"/>
    <w:rsid w:val="003B1EB2"/>
    <w:rsid w:val="003B43A0"/>
    <w:rsid w:val="003B5771"/>
    <w:rsid w:val="003B60D3"/>
    <w:rsid w:val="003C108D"/>
    <w:rsid w:val="003D28CC"/>
    <w:rsid w:val="003F3F4F"/>
    <w:rsid w:val="00403106"/>
    <w:rsid w:val="00452490"/>
    <w:rsid w:val="0048251C"/>
    <w:rsid w:val="004B257D"/>
    <w:rsid w:val="004B2E46"/>
    <w:rsid w:val="00503021"/>
    <w:rsid w:val="00516684"/>
    <w:rsid w:val="00580B36"/>
    <w:rsid w:val="00587EF5"/>
    <w:rsid w:val="005B4B63"/>
    <w:rsid w:val="0060793C"/>
    <w:rsid w:val="00634970"/>
    <w:rsid w:val="00671405"/>
    <w:rsid w:val="00674B43"/>
    <w:rsid w:val="00741204"/>
    <w:rsid w:val="007415F0"/>
    <w:rsid w:val="007568B2"/>
    <w:rsid w:val="007802D0"/>
    <w:rsid w:val="007A467C"/>
    <w:rsid w:val="007A478B"/>
    <w:rsid w:val="007C5F2E"/>
    <w:rsid w:val="007F61C5"/>
    <w:rsid w:val="00835595"/>
    <w:rsid w:val="0083756F"/>
    <w:rsid w:val="00844E7F"/>
    <w:rsid w:val="008563C3"/>
    <w:rsid w:val="00897980"/>
    <w:rsid w:val="008C6A84"/>
    <w:rsid w:val="008F05EF"/>
    <w:rsid w:val="00912B37"/>
    <w:rsid w:val="00951895"/>
    <w:rsid w:val="009D6D9E"/>
    <w:rsid w:val="00A11008"/>
    <w:rsid w:val="00A87629"/>
    <w:rsid w:val="00A96DC3"/>
    <w:rsid w:val="00AD1D6B"/>
    <w:rsid w:val="00AF6D57"/>
    <w:rsid w:val="00B1525D"/>
    <w:rsid w:val="00B80113"/>
    <w:rsid w:val="00C05D04"/>
    <w:rsid w:val="00C33DB9"/>
    <w:rsid w:val="00C52EBF"/>
    <w:rsid w:val="00C90DB7"/>
    <w:rsid w:val="00CD7BE8"/>
    <w:rsid w:val="00DA54D9"/>
    <w:rsid w:val="00DC06B7"/>
    <w:rsid w:val="00E03E9C"/>
    <w:rsid w:val="00E12227"/>
    <w:rsid w:val="00E44FE9"/>
    <w:rsid w:val="00E64DEB"/>
    <w:rsid w:val="00F40105"/>
    <w:rsid w:val="00F61C22"/>
    <w:rsid w:val="00F6216B"/>
    <w:rsid w:val="00F71CA8"/>
    <w:rsid w:val="00F970C5"/>
    <w:rsid w:val="00F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F866F3"/>
  <w14:defaultImageDpi w14:val="0"/>
  <w15:docId w15:val="{50789259-D0A6-4EF3-9E15-551F2F95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B1EB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5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TRANQUILLO VITO</dc:creator>
  <cp:keywords/>
  <dc:description/>
  <cp:lastModifiedBy>TRANQUILLO VITO</cp:lastModifiedBy>
  <cp:revision>10</cp:revision>
  <cp:lastPrinted>2022-03-01T14:25:00Z</cp:lastPrinted>
  <dcterms:created xsi:type="dcterms:W3CDTF">2023-03-08T14:38:00Z</dcterms:created>
  <dcterms:modified xsi:type="dcterms:W3CDTF">2023-03-09T09:56:00Z</dcterms:modified>
</cp:coreProperties>
</file>