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thực thể: Sinh viên, Môn học,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thuộc tính cơ bản: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Sinh viên: MaSV, Ten, Lop, NgaySinh, SDT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Môn học: MaMonHoc, TenMonHoc, SoTinChi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Mục tiêu: MaMucTieu, NoiDung(“</w:t>
      </w:r>
      <w:r w:rsidDel="00000000" w:rsidR="00000000" w:rsidRPr="00000000">
        <w:rPr>
          <w:highlight w:val="white"/>
          <w:rtl w:val="0"/>
        </w:rPr>
        <w:t xml:space="preserve">đạt điểm cao”, “nắm vững kiến thức”, “hoàn thành bài tập đầy đủ”</w:t>
      </w:r>
      <w:r w:rsidDel="00000000" w:rsidR="00000000" w:rsidRPr="00000000">
        <w:rPr>
          <w:rtl w:val="0"/>
        </w:rPr>
        <w:t xml:space="preserve">), ThoiGian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Mối quan hệ giữa các thực thể: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Sinh viên – Môn học: N:N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Một sinh viên có thể học nhiều môn học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Một môn học có thể được nhiều sinh viên đăng ký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Môn học – Mục tiêu học tập: 1:N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Một môn học có thể có nhiều mục tiêu học tập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Mỗi mục tiêu chỉ thuộc về một môn học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Bài 6: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