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B2A4A"/>
          <w:sz w:val="32"/>
          <w:szCs w:val="32"/>
        </w:rPr>
        <w:t xml:space="preserve">PSF-ZERO — POC REPORT</w:t>
      </w:r>
    </w:p>
    <w:tbl>
      <w:tblPr>
        <w:tblW w:type="pct" w:w="100%"/>
        <w:tblBorders>
          <w:top w:val="none"/>
          <w:left w:val="none"/>
          <w:bottom w:val="single" w:color="D7DAE0" w:sz="4"/>
          <w:right w:val="none"/>
          <w:insideH w:val="none"/>
          <w:insideV w:val="none"/>
        </w:tblBorders>
      </w:tblPr>
      <w:tblGrid>
        <w:gridCol w:w="100"/>
        <w:gridCol w:w="100"/>
      </w:tblGrid>
      <w:tr>
        <w:tc>
          <w:tcPr>
            <w:tcW w:type="pct" w:w="34%"/>
            <w:tcMar>
              <w:top w:type="dxa" w:w="100"/>
              <w:bottom w:type="dxa" w:w="160"/>
            </w:tcMar>
          </w:tcPr>
          <w:p>
            <w:r>
              <w:rPr>
                <w:rFonts w:ascii="Calibri" w:cs="Calibri" w:eastAsia="Calibri" w:hAnsi="Calibri"/>
                <w:b/>
                <w:bCs/>
                <w:sz w:val="21"/>
                <w:szCs w:val="21"/>
              </w:rPr>
              <w:t xml:space="preserve">Prepared for:</w:t>
            </w:r>
          </w:p>
        </w:tc>
        <w:tc>
          <w:tcPr>
            <w:tcW w:type="pct" w:w="66%"/>
            <w:tcBorders>
              <w:bottom w:val="single" w:color="D7DAE0" w:sz="4"/>
            </w:tcBorders>
            <w:tcMar>
              <w:top w:type="dxa" w:w="100"/>
              <w:bottom w:type="dxa" w:w="160"/>
            </w:tcMar>
          </w:tcPr>
          <w:p>
            <w:r>
              <w:rPr>
                <w:rFonts w:ascii="Calibri" w:cs="Calibri" w:eastAsia="Calibri" w:hAnsi="Calibri"/>
                <w:i/>
                <w:iCs/>
                <w:color w:val="9A9A9A"/>
                <w:sz w:val="21"/>
                <w:szCs w:val="21"/>
              </w:rPr>
              <w:t xml:space="preserve"/>
            </w:r>
          </w:p>
        </w:tc>
      </w:tr>
    </w:tbl>
    <w:tbl>
      <w:tblPr>
        <w:tblW w:type="pct" w:w="100%"/>
        <w:tblBorders>
          <w:top w:val="none"/>
          <w:left w:val="none"/>
          <w:bottom w:val="single" w:color="D7DAE0" w:sz="4"/>
          <w:right w:val="none"/>
          <w:insideH w:val="none"/>
          <w:insideV w:val="none"/>
        </w:tblBorders>
      </w:tblPr>
      <w:tblGrid>
        <w:gridCol w:w="100"/>
        <w:gridCol w:w="100"/>
      </w:tblGrid>
      <w:tr>
        <w:tc>
          <w:tcPr>
            <w:tcW w:type="pct" w:w="34%"/>
            <w:tcMar>
              <w:top w:type="dxa" w:w="100"/>
              <w:bottom w:type="dxa" w:w="160"/>
            </w:tcMar>
          </w:tcPr>
          <w:p>
            <w:r>
              <w:rPr>
                <w:rFonts w:ascii="Calibri" w:cs="Calibri" w:eastAsia="Calibri" w:hAnsi="Calibri"/>
                <w:b/>
                <w:bCs/>
                <w:sz w:val="21"/>
                <w:szCs w:val="21"/>
              </w:rPr>
              <w:t xml:space="preserve">Date:</w:t>
            </w:r>
          </w:p>
        </w:tc>
        <w:tc>
          <w:tcPr>
            <w:tcW w:type="pct" w:w="66%"/>
            <w:tcBorders>
              <w:bottom w:val="single" w:color="D7DAE0" w:sz="4"/>
            </w:tcBorders>
            <w:tcMar>
              <w:top w:type="dxa" w:w="100"/>
              <w:bottom w:type="dxa" w:w="160"/>
            </w:tcMar>
          </w:tcPr>
          <w:p>
            <w:r>
              <w:rPr>
                <w:rFonts w:ascii="Calibri" w:cs="Calibri" w:eastAsia="Calibri" w:hAnsi="Calibri"/>
                <w:i/>
                <w:iCs/>
                <w:color w:val="9A9A9A"/>
                <w:sz w:val="21"/>
                <w:szCs w:val="21"/>
              </w:rPr>
              <w:t xml:space="preserve"/>
            </w:r>
          </w:p>
        </w:tc>
      </w:tr>
    </w:tbl>
    <w:tbl>
      <w:tblPr>
        <w:tblW w:type="pct" w:w="100%"/>
        <w:tblBorders>
          <w:top w:val="none"/>
          <w:left w:val="none"/>
          <w:bottom w:val="single" w:color="D7DAE0" w:sz="4"/>
          <w:right w:val="none"/>
          <w:insideH w:val="none"/>
          <w:insideV w:val="none"/>
        </w:tblBorders>
      </w:tblPr>
      <w:tblGrid>
        <w:gridCol w:w="100"/>
        <w:gridCol w:w="100"/>
      </w:tblGrid>
      <w:tr>
        <w:tc>
          <w:tcPr>
            <w:tcW w:type="pct" w:w="34%"/>
            <w:tcMar>
              <w:top w:type="dxa" w:w="100"/>
              <w:bottom w:type="dxa" w:w="160"/>
            </w:tcMar>
          </w:tcPr>
          <w:p>
            <w:r>
              <w:rPr>
                <w:rFonts w:ascii="Calibri" w:cs="Calibri" w:eastAsia="Calibri" w:hAnsi="Calibri"/>
                <w:b/>
                <w:bCs/>
                <w:sz w:val="21"/>
                <w:szCs w:val="21"/>
              </w:rPr>
              <w:t xml:space="preserve">Prepared by:</w:t>
            </w:r>
          </w:p>
        </w:tc>
        <w:tc>
          <w:tcPr>
            <w:tcW w:type="pct" w:w="66%"/>
            <w:tcBorders>
              <w:bottom w:val="single" w:color="D7DAE0" w:sz="4"/>
            </w:tcBorders>
            <w:tcMar>
              <w:top w:type="dxa" w:w="100"/>
              <w:bottom w:type="dxa" w:w="160"/>
            </w:tcMar>
          </w:tcPr>
          <w:p>
            <w:r>
              <w:rPr>
                <w:rFonts w:ascii="Calibri" w:cs="Calibri" w:eastAsia="Calibri" w:hAnsi="Calibri"/>
                <w:i/>
                <w:iCs/>
                <w:color w:val="9A9A9A"/>
                <w:sz w:val="21"/>
                <w:szCs w:val="21"/>
              </w:rPr>
              <w:t xml:space="preserve">TN Holdings</w:t>
            </w:r>
          </w:p>
        </w:tc>
      </w:tr>
    </w:tbl>
    <w:p>
      <w:pPr>
        <w:pBdr>
          <w:bottom w:val="single" w:color="D7DAE0" w:sz="4" w:space="6"/>
        </w:pBdr>
        <w:spacing w:after="180" w:before="400"/>
      </w:pPr>
      <w:r>
        <w:rPr>
          <w:rFonts w:ascii="Calibri" w:cs="Calibri" w:eastAsia="Calibri" w:hAnsi="Calibri"/>
          <w:b/>
          <w:bCs/>
          <w:color w:val="C0392B"/>
          <w:sz w:val="26"/>
          <w:szCs w:val="26"/>
        </w:rPr>
        <w:t xml:space="preserve">1. </w:t>
      </w:r>
      <w:r>
        <w:rPr>
          <w:rFonts w:ascii="Calibri" w:cs="Calibri" w:eastAsia="Calibri" w:hAnsi="Calibri"/>
          <w:b/>
          <w:bCs/>
          <w:color w:val="1B2A4A"/>
          <w:sz w:val="26"/>
          <w:szCs w:val="26"/>
        </w:rPr>
        <w:t xml:space="preserve">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7DAE0" w:sz="4"/>
              <w:left w:val="single" w:color="D7DAE0" w:sz="4"/>
              <w:bottom w:val="single" w:color="D7DAE0" w:sz="4"/>
              <w:right w:val="single" w:color="D7DAE0" w:sz="4"/>
            </w:tcBorders>
            <w:shd w:fill="F4F5F7" w:val="clear"/>
            <w:tcMar>
              <w:top w:type="dxa" w:w="140"/>
              <w:left w:type="dxa" w:w="200"/>
              <w:bottom w:type="dxa" w:w="140"/>
              <w:right w:type="dxa" w:w="200"/>
            </w:tcMar>
          </w:tcPr>
          <w:p>
            <w:r>
              <w:rPr>
                <w:rFonts w:ascii="Calibri" w:cs="Calibri" w:eastAsia="Calibri" w:hAnsi="Calibri"/>
                <w:i/>
                <w:iCs/>
                <w:color w:val="595959"/>
                <w:sz w:val="19"/>
                <w:szCs w:val="19"/>
              </w:rPr>
              <w:t xml:space="preserve">Two or three sentences. State the headline result plainly -- a reader who stops here should still know what happened and whether it's worth reading further.</w:t>
            </w:r>
          </w:p>
        </w:tc>
      </w:tr>
    </w:tbl>
    <w:p>
      <w:pPr>
        <w:pBdr>
          <w:bottom w:val="single" w:color="D7DAE0" w:sz="4"/>
        </w:pBdr>
        <w:spacing w:after="240"/>
      </w:pPr>
      <w:r>
        <w:rPr>
          <w:rFonts w:ascii="Calibri" w:cs="Calibri" w:eastAsia="Calibri" w:hAnsi="Calibri"/>
          <w:sz w:val="21"/>
          <w:szCs w:val="21"/>
        </w:rPr>
        <w:t xml:space="preserve"/>
      </w:r>
    </w:p>
    <w:p>
      <w:pPr>
        <w:pBdr>
          <w:bottom w:val="single" w:color="D7DAE0" w:sz="4"/>
        </w:pBdr>
        <w:spacing w:after="240"/>
      </w:pPr>
      <w:r>
        <w:rPr>
          <w:rFonts w:ascii="Calibri" w:cs="Calibri" w:eastAsia="Calibri" w:hAnsi="Calibri"/>
          <w:sz w:val="21"/>
          <w:szCs w:val="21"/>
        </w:rPr>
        <w:t xml:space="preserve"/>
      </w:r>
    </w:p>
    <w:p>
      <w:pPr>
        <w:pBdr>
          <w:bottom w:val="single" w:color="D7DAE0" w:sz="4"/>
        </w:pBdr>
        <w:spacing w:after="240"/>
      </w:pPr>
      <w:r>
        <w:rPr>
          <w:rFonts w:ascii="Calibri" w:cs="Calibri" w:eastAsia="Calibri" w:hAnsi="Calibri"/>
          <w:sz w:val="21"/>
          <w:szCs w:val="21"/>
        </w:rPr>
        <w:t xml:space="preserve"/>
      </w:r>
    </w:p>
    <w:p>
      <w:pPr>
        <w:pBdr>
          <w:bottom w:val="single" w:color="D7DAE0" w:sz="4"/>
        </w:pBdr>
        <w:spacing w:after="240"/>
      </w:pPr>
      <w:r>
        <w:rPr>
          <w:rFonts w:ascii="Calibri" w:cs="Calibri" w:eastAsia="Calibri" w:hAnsi="Calibri"/>
          <w:sz w:val="21"/>
          <w:szCs w:val="21"/>
        </w:rPr>
        <w:t xml:space="preserve"/>
      </w:r>
    </w:p>
    <w:p>
      <w:pPr>
        <w:pBdr>
          <w:bottom w:val="single" w:color="D7DAE0" w:sz="4" w:space="6"/>
        </w:pBdr>
        <w:spacing w:after="180" w:before="400"/>
      </w:pPr>
      <w:r>
        <w:rPr>
          <w:rFonts w:ascii="Calibri" w:cs="Calibri" w:eastAsia="Calibri" w:hAnsi="Calibri"/>
          <w:b/>
          <w:bCs/>
          <w:color w:val="C0392B"/>
          <w:sz w:val="26"/>
          <w:szCs w:val="26"/>
        </w:rPr>
        <w:t xml:space="preserve">2. </w:t>
      </w:r>
      <w:r>
        <w:rPr>
          <w:rFonts w:ascii="Calibri" w:cs="Calibri" w:eastAsia="Calibri" w:hAnsi="Calibri"/>
          <w:b/>
          <w:bCs/>
          <w:color w:val="1B2A4A"/>
          <w:sz w:val="26"/>
          <w:szCs w:val="26"/>
        </w:rPr>
        <w:t xml:space="preserve">Circuit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7DAE0" w:sz="4"/>
              <w:left w:val="single" w:color="D7DAE0" w:sz="4"/>
              <w:bottom w:val="single" w:color="D7DAE0" w:sz="4"/>
              <w:right w:val="single" w:color="D7DAE0" w:sz="4"/>
            </w:tcBorders>
            <w:shd w:fill="F4F5F7" w:val="clear"/>
            <w:tcMar>
              <w:top w:type="dxa" w:w="140"/>
              <w:left w:type="dxa" w:w="200"/>
              <w:bottom w:type="dxa" w:w="140"/>
              <w:right w:type="dxa" w:w="200"/>
            </w:tcMar>
          </w:tcPr>
          <w:p>
            <w:r>
              <w:rPr>
                <w:rFonts w:ascii="Calibri" w:cs="Calibri" w:eastAsia="Calibri" w:hAnsi="Calibri"/>
                <w:i/>
                <w:iCs/>
                <w:color w:val="595959"/>
                <w:sz w:val="19"/>
                <w:szCs w:val="19"/>
              </w:rPr>
              <w:t xml:space="preserve">What was actually run. Enough detail that the result is reproducible, without necessarily disclosing the circuit's own confidential content if that matters here.</w:t>
            </w:r>
          </w:p>
        </w:tc>
      </w:tr>
    </w:tbl>
    <w:tbl>
      <w:tblPr>
        <w:tblW w:type="pct" w:w="100%"/>
        <w:tblBorders>
          <w:top w:val="none"/>
          <w:left w:val="none"/>
          <w:bottom w:val="single" w:color="D7DAE0" w:sz="4"/>
          <w:right w:val="none"/>
          <w:insideH w:val="none"/>
          <w:insideV w:val="none"/>
        </w:tblBorders>
      </w:tblPr>
      <w:tblGrid>
        <w:gridCol w:w="100"/>
        <w:gridCol w:w="100"/>
      </w:tblGrid>
      <w:tr>
        <w:tc>
          <w:tcPr>
            <w:tcW w:type="pct" w:w="34%"/>
            <w:tcMar>
              <w:top w:type="dxa" w:w="100"/>
              <w:bottom w:type="dxa" w:w="160"/>
            </w:tcMar>
          </w:tcPr>
          <w:p>
            <w:r>
              <w:rPr>
                <w:rFonts w:ascii="Calibri" w:cs="Calibri" w:eastAsia="Calibri" w:hAnsi="Calibri"/>
                <w:b/>
                <w:bCs/>
                <w:sz w:val="21"/>
                <w:szCs w:val="21"/>
              </w:rPr>
              <w:t xml:space="preserve">Qubit count:</w:t>
            </w:r>
          </w:p>
        </w:tc>
        <w:tc>
          <w:tcPr>
            <w:tcW w:type="pct" w:w="66%"/>
            <w:tcBorders>
              <w:bottom w:val="single" w:color="D7DAE0" w:sz="4"/>
            </w:tcBorders>
            <w:tcMar>
              <w:top w:type="dxa" w:w="100"/>
              <w:bottom w:type="dxa" w:w="160"/>
            </w:tcMar>
          </w:tcPr>
          <w:p>
            <w:r>
              <w:rPr>
                <w:rFonts w:ascii="Calibri" w:cs="Calibri" w:eastAsia="Calibri" w:hAnsi="Calibri"/>
                <w:i/>
                <w:iCs/>
                <w:color w:val="9A9A9A"/>
                <w:sz w:val="21"/>
                <w:szCs w:val="21"/>
              </w:rPr>
              <w:t xml:space="preserve"/>
            </w:r>
          </w:p>
        </w:tc>
      </w:tr>
    </w:tbl>
    <w:tbl>
      <w:tblPr>
        <w:tblW w:type="pct" w:w="100%"/>
        <w:tblBorders>
          <w:top w:val="none"/>
          <w:left w:val="none"/>
          <w:bottom w:val="single" w:color="D7DAE0" w:sz="4"/>
          <w:right w:val="none"/>
          <w:insideH w:val="none"/>
          <w:insideV w:val="none"/>
        </w:tblBorders>
      </w:tblPr>
      <w:tblGrid>
        <w:gridCol w:w="100"/>
        <w:gridCol w:w="100"/>
      </w:tblGrid>
      <w:tr>
        <w:tc>
          <w:tcPr>
            <w:tcW w:type="pct" w:w="34%"/>
            <w:tcMar>
              <w:top w:type="dxa" w:w="100"/>
              <w:bottom w:type="dxa" w:w="160"/>
            </w:tcMar>
          </w:tcPr>
          <w:p>
            <w:r>
              <w:rPr>
                <w:rFonts w:ascii="Calibri" w:cs="Calibri" w:eastAsia="Calibri" w:hAnsi="Calibri"/>
                <w:b/>
                <w:bCs/>
                <w:sz w:val="21"/>
                <w:szCs w:val="21"/>
              </w:rPr>
              <w:t xml:space="preserve">2-qubit gate count:</w:t>
            </w:r>
          </w:p>
        </w:tc>
        <w:tc>
          <w:tcPr>
            <w:tcW w:type="pct" w:w="66%"/>
            <w:tcBorders>
              <w:bottom w:val="single" w:color="D7DAE0" w:sz="4"/>
            </w:tcBorders>
            <w:tcMar>
              <w:top w:type="dxa" w:w="100"/>
              <w:bottom w:type="dxa" w:w="160"/>
            </w:tcMar>
          </w:tcPr>
          <w:p>
            <w:r>
              <w:rPr>
                <w:rFonts w:ascii="Calibri" w:cs="Calibri" w:eastAsia="Calibri" w:hAnsi="Calibri"/>
                <w:i/>
                <w:iCs/>
                <w:color w:val="9A9A9A"/>
                <w:sz w:val="21"/>
                <w:szCs w:val="21"/>
              </w:rPr>
              <w:t xml:space="preserve"/>
            </w:r>
          </w:p>
        </w:tc>
      </w:tr>
    </w:tbl>
    <w:tbl>
      <w:tblPr>
        <w:tblW w:type="pct" w:w="100%"/>
        <w:tblBorders>
          <w:top w:val="none"/>
          <w:left w:val="none"/>
          <w:bottom w:val="single" w:color="D7DAE0" w:sz="4"/>
          <w:right w:val="none"/>
          <w:insideH w:val="none"/>
          <w:insideV w:val="none"/>
        </w:tblBorders>
      </w:tblPr>
      <w:tblGrid>
        <w:gridCol w:w="100"/>
        <w:gridCol w:w="100"/>
      </w:tblGrid>
      <w:tr>
        <w:tc>
          <w:tcPr>
            <w:tcW w:type="pct" w:w="34%"/>
            <w:tcMar>
              <w:top w:type="dxa" w:w="100"/>
              <w:bottom w:type="dxa" w:w="160"/>
            </w:tcMar>
          </w:tcPr>
          <w:p>
            <w:r>
              <w:rPr>
                <w:rFonts w:ascii="Calibri" w:cs="Calibri" w:eastAsia="Calibri" w:hAnsi="Calibri"/>
                <w:b/>
                <w:bCs/>
                <w:sz w:val="21"/>
                <w:szCs w:val="21"/>
              </w:rPr>
              <w:t xml:space="preserve">Circuit family / structure:</w:t>
            </w:r>
          </w:p>
        </w:tc>
        <w:tc>
          <w:tcPr>
            <w:tcW w:type="pct" w:w="66%"/>
            <w:tcBorders>
              <w:bottom w:val="single" w:color="D7DAE0" w:sz="4"/>
            </w:tcBorders>
            <w:tcMar>
              <w:top w:type="dxa" w:w="100"/>
              <w:bottom w:type="dxa" w:w="160"/>
            </w:tcMar>
          </w:tcPr>
          <w:p>
            <w:r>
              <w:rPr>
                <w:rFonts w:ascii="Calibri" w:cs="Calibri" w:eastAsia="Calibri" w:hAnsi="Calibri"/>
                <w:i/>
                <w:iCs/>
                <w:color w:val="9A9A9A"/>
                <w:sz w:val="21"/>
                <w:szCs w:val="21"/>
              </w:rPr>
              <w:t xml:space="preserve"/>
            </w:r>
          </w:p>
        </w:tc>
      </w:tr>
    </w:tbl>
    <w:tbl>
      <w:tblPr>
        <w:tblW w:type="pct" w:w="100%"/>
        <w:tblBorders>
          <w:top w:val="none"/>
          <w:left w:val="none"/>
          <w:bottom w:val="single" w:color="D7DAE0" w:sz="4"/>
          <w:right w:val="none"/>
          <w:insideH w:val="none"/>
          <w:insideV w:val="none"/>
        </w:tblBorders>
      </w:tblPr>
      <w:tblGrid>
        <w:gridCol w:w="100"/>
        <w:gridCol w:w="100"/>
      </w:tblGrid>
      <w:tr>
        <w:tc>
          <w:tcPr>
            <w:tcW w:type="pct" w:w="34%"/>
            <w:tcMar>
              <w:top w:type="dxa" w:w="100"/>
              <w:bottom w:type="dxa" w:w="160"/>
            </w:tcMar>
          </w:tcPr>
          <w:p>
            <w:r>
              <w:rPr>
                <w:rFonts w:ascii="Calibri" w:cs="Calibri" w:eastAsia="Calibri" w:hAnsi="Calibri"/>
                <w:b/>
                <w:bCs/>
                <w:sz w:val="21"/>
                <w:szCs w:val="21"/>
              </w:rPr>
              <w:t xml:space="preserve">Target coupling map / device:</w:t>
            </w:r>
          </w:p>
        </w:tc>
        <w:tc>
          <w:tcPr>
            <w:tcW w:type="pct" w:w="66%"/>
            <w:tcBorders>
              <w:bottom w:val="single" w:color="D7DAE0" w:sz="4"/>
            </w:tcBorders>
            <w:tcMar>
              <w:top w:type="dxa" w:w="100"/>
              <w:bottom w:type="dxa" w:w="160"/>
            </w:tcMar>
          </w:tcPr>
          <w:p>
            <w:r>
              <w:rPr>
                <w:rFonts w:ascii="Calibri" w:cs="Calibri" w:eastAsia="Calibri" w:hAnsi="Calibri"/>
                <w:i/>
                <w:iCs/>
                <w:color w:val="9A9A9A"/>
                <w:sz w:val="21"/>
                <w:szCs w:val="21"/>
              </w:rPr>
              <w:t xml:space="preserve"/>
            </w:r>
          </w:p>
        </w:tc>
      </w:tr>
    </w:tbl>
    <w:tbl>
      <w:tblPr>
        <w:tblW w:type="pct" w:w="100%"/>
        <w:tblBorders>
          <w:top w:val="none"/>
          <w:left w:val="none"/>
          <w:bottom w:val="single" w:color="D7DAE0" w:sz="4"/>
          <w:right w:val="none"/>
          <w:insideH w:val="none"/>
          <w:insideV w:val="none"/>
        </w:tblBorders>
      </w:tblPr>
      <w:tblGrid>
        <w:gridCol w:w="100"/>
        <w:gridCol w:w="100"/>
      </w:tblGrid>
      <w:tr>
        <w:tc>
          <w:tcPr>
            <w:tcW w:type="pct" w:w="34%"/>
            <w:tcMar>
              <w:top w:type="dxa" w:w="100"/>
              <w:bottom w:type="dxa" w:w="160"/>
            </w:tcMar>
          </w:tcPr>
          <w:p>
            <w:r>
              <w:rPr>
                <w:rFonts w:ascii="Calibri" w:cs="Calibri" w:eastAsia="Calibri" w:hAnsi="Calibri"/>
                <w:b/>
                <w:bCs/>
                <w:sz w:val="21"/>
                <w:szCs w:val="21"/>
              </w:rPr>
              <w:t xml:space="preserve">Occupancy (spare qubits):</w:t>
            </w:r>
          </w:p>
        </w:tc>
        <w:tc>
          <w:tcPr>
            <w:tcW w:type="pct" w:w="66%"/>
            <w:tcBorders>
              <w:bottom w:val="single" w:color="D7DAE0" w:sz="4"/>
            </w:tcBorders>
            <w:tcMar>
              <w:top w:type="dxa" w:w="100"/>
              <w:bottom w:type="dxa" w:w="160"/>
            </w:tcMar>
          </w:tcPr>
          <w:p>
            <w:r>
              <w:rPr>
                <w:rFonts w:ascii="Calibri" w:cs="Calibri" w:eastAsia="Calibri" w:hAnsi="Calibri"/>
                <w:i/>
                <w:iCs/>
                <w:color w:val="9A9A9A"/>
                <w:sz w:val="21"/>
                <w:szCs w:val="21"/>
              </w:rPr>
              <w:t xml:space="preserve"/>
            </w:r>
          </w:p>
        </w:tc>
      </w:tr>
    </w:tbl>
    <w:p>
      <w:pPr>
        <w:pBdr>
          <w:bottom w:val="single" w:color="D7DAE0" w:sz="4" w:space="6"/>
        </w:pBdr>
        <w:spacing w:after="180" w:before="400"/>
      </w:pPr>
      <w:r>
        <w:rPr>
          <w:rFonts w:ascii="Calibri" w:cs="Calibri" w:eastAsia="Calibri" w:hAnsi="Calibri"/>
          <w:b/>
          <w:bCs/>
          <w:color w:val="C0392B"/>
          <w:sz w:val="26"/>
          <w:szCs w:val="26"/>
        </w:rPr>
        <w:t xml:space="preserve">3. </w:t>
      </w:r>
      <w:r>
        <w:rPr>
          <w:rFonts w:ascii="Calibri" w:cs="Calibri" w:eastAsia="Calibri" w:hAnsi="Calibri"/>
          <w:b/>
          <w:bCs/>
          <w:color w:val="1B2A4A"/>
          <w:sz w:val="26"/>
          <w:szCs w:val="26"/>
        </w:rPr>
        <w:t xml:space="preserve">Method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7DAE0" w:sz="4"/>
              <w:left w:val="single" w:color="D7DAE0" w:sz="4"/>
              <w:bottom w:val="single" w:color="D7DAE0" w:sz="4"/>
              <w:right w:val="single" w:color="D7DAE0" w:sz="4"/>
            </w:tcBorders>
            <w:shd w:fill="F4F5F7" w:val="clear"/>
            <w:tcMar>
              <w:top w:type="dxa" w:w="140"/>
              <w:left w:type="dxa" w:w="200"/>
              <w:bottom w:type="dxa" w:w="140"/>
              <w:right w:type="dxa" w:w="200"/>
            </w:tcMar>
          </w:tcPr>
          <w:p>
            <w:r>
              <w:rPr>
                <w:rFonts w:ascii="Calibri" w:cs="Calibri" w:eastAsia="Calibri" w:hAnsi="Calibri"/>
                <w:i/>
                <w:iCs/>
                <w:color w:val="595959"/>
                <w:sz w:val="19"/>
                <w:szCs w:val="19"/>
              </w:rPr>
              <w:t xml:space="preserve">What was actually measured, and how -- so the numbers in Section 5 can be checked, not just trusted.</w:t>
            </w:r>
          </w:p>
        </w:tc>
      </w:tr>
    </w:tbl>
    <w:tbl>
      <w:tblPr>
        <w:tblW w:type="pct" w:w="100%"/>
        <w:tblBorders>
          <w:top w:val="none"/>
          <w:left w:val="none"/>
          <w:bottom w:val="single" w:color="D7DAE0" w:sz="4"/>
          <w:right w:val="none"/>
          <w:insideH w:val="none"/>
          <w:insideV w:val="none"/>
        </w:tblBorders>
      </w:tblPr>
      <w:tblGrid>
        <w:gridCol w:w="100"/>
        <w:gridCol w:w="100"/>
      </w:tblGrid>
      <w:tr>
        <w:tc>
          <w:tcPr>
            <w:tcW w:type="pct" w:w="34%"/>
            <w:tcMar>
              <w:top w:type="dxa" w:w="100"/>
              <w:bottom w:type="dxa" w:w="160"/>
            </w:tcMar>
          </w:tcPr>
          <w:p>
            <w:r>
              <w:rPr>
                <w:rFonts w:ascii="Calibri" w:cs="Calibri" w:eastAsia="Calibri" w:hAnsi="Calibri"/>
                <w:b/>
                <w:bCs/>
                <w:sz w:val="21"/>
                <w:szCs w:val="21"/>
              </w:rPr>
              <w:t xml:space="preserve">Qiskit version:</w:t>
            </w:r>
          </w:p>
        </w:tc>
        <w:tc>
          <w:tcPr>
            <w:tcW w:type="pct" w:w="66%"/>
            <w:tcBorders>
              <w:bottom w:val="single" w:color="D7DAE0" w:sz="4"/>
            </w:tcBorders>
            <w:tcMar>
              <w:top w:type="dxa" w:w="100"/>
              <w:bottom w:type="dxa" w:w="160"/>
            </w:tcMar>
          </w:tcPr>
          <w:p>
            <w:r>
              <w:rPr>
                <w:rFonts w:ascii="Calibri" w:cs="Calibri" w:eastAsia="Calibri" w:hAnsi="Calibri"/>
                <w:i/>
                <w:iCs/>
                <w:color w:val="9A9A9A"/>
                <w:sz w:val="21"/>
                <w:szCs w:val="21"/>
              </w:rPr>
              <w:t xml:space="preserve"/>
            </w:r>
          </w:p>
        </w:tc>
      </w:tr>
    </w:tbl>
    <w:tbl>
      <w:tblPr>
        <w:tblW w:type="pct" w:w="100%"/>
        <w:tblBorders>
          <w:top w:val="none"/>
          <w:left w:val="none"/>
          <w:bottom w:val="single" w:color="D7DAE0" w:sz="4"/>
          <w:right w:val="none"/>
          <w:insideH w:val="none"/>
          <w:insideV w:val="none"/>
        </w:tblBorders>
      </w:tblPr>
      <w:tblGrid>
        <w:gridCol w:w="100"/>
        <w:gridCol w:w="100"/>
      </w:tblGrid>
      <w:tr>
        <w:tc>
          <w:tcPr>
            <w:tcW w:type="pct" w:w="34%"/>
            <w:tcMar>
              <w:top w:type="dxa" w:w="100"/>
              <w:bottom w:type="dxa" w:w="160"/>
            </w:tcMar>
          </w:tcPr>
          <w:p>
            <w:r>
              <w:rPr>
                <w:rFonts w:ascii="Calibri" w:cs="Calibri" w:eastAsia="Calibri" w:hAnsi="Calibri"/>
                <w:b/>
                <w:bCs/>
                <w:sz w:val="21"/>
                <w:szCs w:val="21"/>
              </w:rPr>
              <w:t xml:space="preserve">PSF-Zero version:</w:t>
            </w:r>
          </w:p>
        </w:tc>
        <w:tc>
          <w:tcPr>
            <w:tcW w:type="pct" w:w="66%"/>
            <w:tcBorders>
              <w:bottom w:val="single" w:color="D7DAE0" w:sz="4"/>
            </w:tcBorders>
            <w:tcMar>
              <w:top w:type="dxa" w:w="100"/>
              <w:bottom w:type="dxa" w:w="160"/>
            </w:tcMar>
          </w:tcPr>
          <w:p>
            <w:r>
              <w:rPr>
                <w:rFonts w:ascii="Calibri" w:cs="Calibri" w:eastAsia="Calibri" w:hAnsi="Calibri"/>
                <w:i/>
                <w:iCs/>
                <w:color w:val="9A9A9A"/>
                <w:sz w:val="21"/>
                <w:szCs w:val="21"/>
              </w:rPr>
              <w:t xml:space="preserve"/>
            </w:r>
          </w:p>
        </w:tc>
      </w:tr>
    </w:tbl>
    <w:tbl>
      <w:tblPr>
        <w:tblW w:type="pct" w:w="100%"/>
        <w:tblBorders>
          <w:top w:val="none"/>
          <w:left w:val="none"/>
          <w:bottom w:val="single" w:color="D7DAE0" w:sz="4"/>
          <w:right w:val="none"/>
          <w:insideH w:val="none"/>
          <w:insideV w:val="none"/>
        </w:tblBorders>
      </w:tblPr>
      <w:tblGrid>
        <w:gridCol w:w="100"/>
        <w:gridCol w:w="100"/>
      </w:tblGrid>
      <w:tr>
        <w:tc>
          <w:tcPr>
            <w:tcW w:type="pct" w:w="34%"/>
            <w:tcMar>
              <w:top w:type="dxa" w:w="100"/>
              <w:bottom w:type="dxa" w:w="160"/>
            </w:tcMar>
          </w:tcPr>
          <w:p>
            <w:r>
              <w:rPr>
                <w:rFonts w:ascii="Calibri" w:cs="Calibri" w:eastAsia="Calibri" w:hAnsi="Calibri"/>
                <w:b/>
                <w:bCs/>
                <w:sz w:val="21"/>
                <w:szCs w:val="21"/>
              </w:rPr>
              <w:t xml:space="preserve">optimization_level / routing_optimization_level:</w:t>
            </w:r>
          </w:p>
        </w:tc>
        <w:tc>
          <w:tcPr>
            <w:tcW w:type="pct" w:w="66%"/>
            <w:tcBorders>
              <w:bottom w:val="single" w:color="D7DAE0" w:sz="4"/>
            </w:tcBorders>
            <w:tcMar>
              <w:top w:type="dxa" w:w="100"/>
              <w:bottom w:type="dxa" w:w="160"/>
            </w:tcMar>
          </w:tcPr>
          <w:p>
            <w:r>
              <w:rPr>
                <w:rFonts w:ascii="Calibri" w:cs="Calibri" w:eastAsia="Calibri" w:hAnsi="Calibri"/>
                <w:i/>
                <w:iCs/>
                <w:color w:val="9A9A9A"/>
                <w:sz w:val="21"/>
                <w:szCs w:val="21"/>
              </w:rPr>
              <w:t xml:space="preserve"/>
            </w:r>
          </w:p>
        </w:tc>
      </w:tr>
    </w:tbl>
    <w:tbl>
      <w:tblPr>
        <w:tblW w:type="pct" w:w="100%"/>
        <w:tblBorders>
          <w:top w:val="none"/>
          <w:left w:val="none"/>
          <w:bottom w:val="single" w:color="D7DAE0" w:sz="4"/>
          <w:right w:val="none"/>
          <w:insideH w:val="none"/>
          <w:insideV w:val="none"/>
        </w:tblBorders>
      </w:tblPr>
      <w:tblGrid>
        <w:gridCol w:w="100"/>
        <w:gridCol w:w="100"/>
      </w:tblGrid>
      <w:tr>
        <w:tc>
          <w:tcPr>
            <w:tcW w:type="pct" w:w="34%"/>
            <w:tcMar>
              <w:top w:type="dxa" w:w="100"/>
              <w:bottom w:type="dxa" w:w="160"/>
            </w:tcMar>
          </w:tcPr>
          <w:p>
            <w:r>
              <w:rPr>
                <w:rFonts w:ascii="Calibri" w:cs="Calibri" w:eastAsia="Calibri" w:hAnsi="Calibri"/>
                <w:b/>
                <w:bCs/>
                <w:sz w:val="21"/>
                <w:szCs w:val="21"/>
              </w:rPr>
              <w:t xml:space="preserve">Seeds / repeats:</w:t>
            </w:r>
          </w:p>
        </w:tc>
        <w:tc>
          <w:tcPr>
            <w:tcW w:type="pct" w:w="66%"/>
            <w:tcBorders>
              <w:bottom w:val="single" w:color="D7DAE0" w:sz="4"/>
            </w:tcBorders>
            <w:tcMar>
              <w:top w:type="dxa" w:w="100"/>
              <w:bottom w:type="dxa" w:w="160"/>
            </w:tcMar>
          </w:tcPr>
          <w:p>
            <w:r>
              <w:rPr>
                <w:rFonts w:ascii="Calibri" w:cs="Calibri" w:eastAsia="Calibri" w:hAnsi="Calibri"/>
                <w:i/>
                <w:iCs/>
                <w:color w:val="9A9A9A"/>
                <w:sz w:val="21"/>
                <w:szCs w:val="21"/>
              </w:rPr>
              <w:t xml:space="preserve"/>
            </w:r>
          </w:p>
        </w:tc>
      </w:tr>
    </w:tbl>
    <w:tbl>
      <w:tblPr>
        <w:tblW w:type="pct" w:w="100%"/>
        <w:tblBorders>
          <w:top w:val="none"/>
          <w:left w:val="none"/>
          <w:bottom w:val="single" w:color="D7DAE0" w:sz="4"/>
          <w:right w:val="none"/>
          <w:insideH w:val="none"/>
          <w:insideV w:val="none"/>
        </w:tblBorders>
      </w:tblPr>
      <w:tblGrid>
        <w:gridCol w:w="100"/>
        <w:gridCol w:w="100"/>
      </w:tblGrid>
      <w:tr>
        <w:tc>
          <w:tcPr>
            <w:tcW w:type="pct" w:w="34%"/>
            <w:tcMar>
              <w:top w:type="dxa" w:w="100"/>
              <w:bottom w:type="dxa" w:w="160"/>
            </w:tcMar>
          </w:tcPr>
          <w:p>
            <w:r>
              <w:rPr>
                <w:rFonts w:ascii="Calibri" w:cs="Calibri" w:eastAsia="Calibri" w:hAnsi="Calibri"/>
                <w:b/>
                <w:bCs/>
                <w:sz w:val="21"/>
                <w:szCs w:val="21"/>
              </w:rPr>
              <w:t xml:space="preserve">Hardware the measurement ran on:</w:t>
            </w:r>
          </w:p>
        </w:tc>
        <w:tc>
          <w:tcPr>
            <w:tcW w:type="pct" w:w="66%"/>
            <w:tcBorders>
              <w:bottom w:val="single" w:color="D7DAE0" w:sz="4"/>
            </w:tcBorders>
            <w:tcMar>
              <w:top w:type="dxa" w:w="100"/>
              <w:bottom w:type="dxa" w:w="160"/>
            </w:tcMar>
          </w:tcPr>
          <w:p>
            <w:r>
              <w:rPr>
                <w:rFonts w:ascii="Calibri" w:cs="Calibri" w:eastAsia="Calibri" w:hAnsi="Calibri"/>
                <w:i/>
                <w:iCs/>
                <w:color w:val="9A9A9A"/>
                <w:sz w:val="21"/>
                <w:szCs w:val="21"/>
              </w:rPr>
              <w:t xml:space="preserve"/>
            </w:r>
          </w:p>
        </w:tc>
      </w:tr>
    </w:tbl>
    <w:p>
      <w:pPr>
        <w:pBdr>
          <w:bottom w:val="single" w:color="D7DAE0" w:sz="4" w:space="6"/>
        </w:pBdr>
        <w:spacing w:after="180" w:before="400"/>
      </w:pPr>
      <w:r>
        <w:rPr>
          <w:rFonts w:ascii="Calibri" w:cs="Calibri" w:eastAsia="Calibri" w:hAnsi="Calibri"/>
          <w:b/>
          <w:bCs/>
          <w:color w:val="C0392B"/>
          <w:sz w:val="26"/>
          <w:szCs w:val="26"/>
        </w:rPr>
        <w:t xml:space="preserve">4. </w:t>
      </w:r>
      <w:r>
        <w:rPr>
          <w:rFonts w:ascii="Calibri" w:cs="Calibri" w:eastAsia="Calibri" w:hAnsi="Calibri"/>
          <w:b/>
          <w:bCs/>
          <w:color w:val="1B2A4A"/>
          <w:sz w:val="26"/>
          <w:szCs w:val="26"/>
        </w:rPr>
        <w:t xml:space="preserve">Correctness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7DAE0" w:sz="4"/>
              <w:left w:val="single" w:color="D7DAE0" w:sz="4"/>
              <w:bottom w:val="single" w:color="D7DAE0" w:sz="4"/>
              <w:right w:val="single" w:color="D7DAE0" w:sz="4"/>
            </w:tcBorders>
            <w:shd w:fill="F4F5F7" w:val="clear"/>
            <w:tcMar>
              <w:top w:type="dxa" w:w="140"/>
              <w:left w:type="dxa" w:w="200"/>
              <w:bottom w:type="dxa" w:w="140"/>
              <w:right w:type="dxa" w:w="200"/>
            </w:tcMar>
          </w:tcPr>
          <w:p>
            <w:r>
              <w:rPr>
                <w:rFonts w:ascii="Calibri" w:cs="Calibri" w:eastAsia="Calibri" w:hAnsi="Calibri"/>
                <w:i/>
                <w:iCs/>
                <w:color w:val="595959"/>
                <w:sz w:val="19"/>
                <w:szCs w:val="19"/>
              </w:rPr>
              <w:t xml:space="preserve">Was the output checked to compute the same thing as the input, not just assumed? State the method (exact Operator comparison, sampled fidelity, etc.) and the scale it was checked at.</w:t>
            </w:r>
          </w:p>
        </w:tc>
      </w:tr>
    </w:tbl>
    <w:p>
      <w:pPr>
        <w:pBdr>
          <w:bottom w:val="single" w:color="D7DAE0" w:sz="4"/>
        </w:pBdr>
        <w:spacing w:after="240"/>
      </w:pPr>
      <w:r>
        <w:rPr>
          <w:rFonts w:ascii="Calibri" w:cs="Calibri" w:eastAsia="Calibri" w:hAnsi="Calibri"/>
          <w:sz w:val="21"/>
          <w:szCs w:val="21"/>
        </w:rPr>
        <w:t xml:space="preserve"/>
      </w:r>
    </w:p>
    <w:p>
      <w:pPr>
        <w:pBdr>
          <w:bottom w:val="single" w:color="D7DAE0" w:sz="4"/>
        </w:pBdr>
        <w:spacing w:after="240"/>
      </w:pPr>
      <w:r>
        <w:rPr>
          <w:rFonts w:ascii="Calibri" w:cs="Calibri" w:eastAsia="Calibri" w:hAnsi="Calibri"/>
          <w:sz w:val="21"/>
          <w:szCs w:val="21"/>
        </w:rPr>
        <w:t xml:space="preserve"/>
      </w:r>
    </w:p>
    <w:p>
      <w:pPr>
        <w:pBdr>
          <w:bottom w:val="single" w:color="D7DAE0" w:sz="4"/>
        </w:pBdr>
        <w:spacing w:after="240"/>
      </w:pPr>
      <w:r>
        <w:rPr>
          <w:rFonts w:ascii="Calibri" w:cs="Calibri" w:eastAsia="Calibri" w:hAnsi="Calibri"/>
          <w:sz w:val="21"/>
          <w:szCs w:val="21"/>
        </w:rPr>
        <w:t xml:space="preserve"/>
      </w:r>
    </w:p>
    <w:p>
      <w:pPr>
        <w:pBdr>
          <w:bottom w:val="single" w:color="D7DAE0" w:sz="4" w:space="6"/>
        </w:pBdr>
        <w:spacing w:after="180" w:before="400"/>
      </w:pPr>
      <w:r>
        <w:rPr>
          <w:rFonts w:ascii="Calibri" w:cs="Calibri" w:eastAsia="Calibri" w:hAnsi="Calibri"/>
          <w:b/>
          <w:bCs/>
          <w:color w:val="C0392B"/>
          <w:sz w:val="26"/>
          <w:szCs w:val="26"/>
        </w:rPr>
        <w:t xml:space="preserve">5. </w:t>
      </w:r>
      <w:r>
        <w:rPr>
          <w:rFonts w:ascii="Calibri" w:cs="Calibri" w:eastAsia="Calibri" w:hAnsi="Calibri"/>
          <w:b/>
          <w:bCs/>
          <w:color w:val="1B2A4A"/>
          <w:sz w:val="26"/>
          <w:szCs w:val="26"/>
        </w:rPr>
        <w:t xml:space="preserve">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200"/>
      </w:tblGrid>
      <w:tr>
        <w:tc>
          <w:tcPr>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Metric</w:t>
            </w:r>
          </w:p>
        </w:tc>
        <w:tc>
          <w:tcPr>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Qiskit</w:t>
            </w:r>
          </w:p>
        </w:tc>
        <w:tc>
          <w:tcPr>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PSF-Zero</w:t>
            </w:r>
          </w:p>
        </w:tc>
        <w:tc>
          <w:tcPr>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Delta</w:t>
            </w:r>
          </w:p>
        </w:tc>
      </w:tr>
      <w:tr>
        <w:tc>
          <w:tcPr>
            <w:tcMar>
              <w:top w:type="dxa" w:w="100"/>
              <w:left w:type="dxa" w:w="120"/>
              <w:bottom w:type="dxa" w:w="100"/>
              <w:right w:type="dxa" w:w="120"/>
            </w:tcMar>
          </w:tcPr>
          <w:p>
            <w:r>
              <w:rPr>
                <w:rFonts w:ascii="Calibri" w:cs="Calibri" w:eastAsia="Calibri" w:hAnsi="Calibri"/>
                <w:sz w:val="20"/>
                <w:szCs w:val="20"/>
              </w:rPr>
              <w:t xml:space="preserve">Compile / synthesis time</w:t>
            </w:r>
          </w:p>
        </w:tc>
        <w:tc>
          <w:tcPr>
            <w:tcMar>
              <w:top w:type="dxa" w:w="100"/>
              <w:left w:type="dxa" w:w="120"/>
              <w:bottom w:type="dxa" w:w="100"/>
              <w:right w:type="dxa" w:w="120"/>
            </w:tcMar>
          </w:tcPr>
          <w:p>
            <w:r>
              <w:rPr>
                <w:rFonts w:ascii="Calibri" w:cs="Calibri" w:eastAsia="Calibri" w:hAnsi="Calibri"/>
                <w:sz w:val="20"/>
                <w:szCs w:val="20"/>
              </w:rPr>
              <w:t xml:space="preserve"/>
            </w:r>
          </w:p>
        </w:tc>
        <w:tc>
          <w:tcPr>
            <w:tcMar>
              <w:top w:type="dxa" w:w="100"/>
              <w:left w:type="dxa" w:w="120"/>
              <w:bottom w:type="dxa" w:w="100"/>
              <w:right w:type="dxa" w:w="120"/>
            </w:tcMar>
          </w:tcPr>
          <w:p>
            <w:r>
              <w:rPr>
                <w:rFonts w:ascii="Calibri" w:cs="Calibri" w:eastAsia="Calibri" w:hAnsi="Calibri"/>
                <w:sz w:val="20"/>
                <w:szCs w:val="20"/>
              </w:rPr>
              <w:t xml:space="preserve"/>
            </w:r>
          </w:p>
        </w:tc>
        <w:tc>
          <w:tcPr>
            <w:tcMar>
              <w:top w:type="dxa" w:w="100"/>
              <w:left w:type="dxa" w:w="120"/>
              <w:bottom w:type="dxa" w:w="100"/>
              <w:right w:type="dxa" w:w="120"/>
            </w:tcMar>
          </w:tcPr>
          <w:p>
            <w:r>
              <w:rPr>
                <w:rFonts w:ascii="Calibri" w:cs="Calibri" w:eastAsia="Calibri" w:hAnsi="Calibri"/>
                <w:sz w:val="20"/>
                <w:szCs w:val="20"/>
              </w:rPr>
              <w:t xml:space="preserve"/>
            </w:r>
          </w:p>
        </w:tc>
      </w:tr>
      <w:tr>
        <w:tc>
          <w:tcPr>
            <w:tcMar>
              <w:top w:type="dxa" w:w="100"/>
              <w:left w:type="dxa" w:w="120"/>
              <w:bottom w:type="dxa" w:w="100"/>
              <w:right w:type="dxa" w:w="120"/>
            </w:tcMar>
          </w:tcPr>
          <w:p>
            <w:r>
              <w:rPr>
                <w:rFonts w:ascii="Calibri" w:cs="Calibri" w:eastAsia="Calibri" w:hAnsi="Calibri"/>
                <w:sz w:val="20"/>
                <w:szCs w:val="20"/>
              </w:rPr>
              <w:t xml:space="preserve">2-qubit gate count</w:t>
            </w:r>
          </w:p>
        </w:tc>
        <w:tc>
          <w:tcPr>
            <w:tcMar>
              <w:top w:type="dxa" w:w="100"/>
              <w:left w:type="dxa" w:w="120"/>
              <w:bottom w:type="dxa" w:w="100"/>
              <w:right w:type="dxa" w:w="120"/>
            </w:tcMar>
          </w:tcPr>
          <w:p>
            <w:r>
              <w:rPr>
                <w:rFonts w:ascii="Calibri" w:cs="Calibri" w:eastAsia="Calibri" w:hAnsi="Calibri"/>
                <w:sz w:val="20"/>
                <w:szCs w:val="20"/>
              </w:rPr>
              <w:t xml:space="preserve"/>
            </w:r>
          </w:p>
        </w:tc>
        <w:tc>
          <w:tcPr>
            <w:tcMar>
              <w:top w:type="dxa" w:w="100"/>
              <w:left w:type="dxa" w:w="120"/>
              <w:bottom w:type="dxa" w:w="100"/>
              <w:right w:type="dxa" w:w="120"/>
            </w:tcMar>
          </w:tcPr>
          <w:p>
            <w:r>
              <w:rPr>
                <w:rFonts w:ascii="Calibri" w:cs="Calibri" w:eastAsia="Calibri" w:hAnsi="Calibri"/>
                <w:sz w:val="20"/>
                <w:szCs w:val="20"/>
              </w:rPr>
              <w:t xml:space="preserve"/>
            </w:r>
          </w:p>
        </w:tc>
        <w:tc>
          <w:tcPr>
            <w:tcMar>
              <w:top w:type="dxa" w:w="100"/>
              <w:left w:type="dxa" w:w="120"/>
              <w:bottom w:type="dxa" w:w="100"/>
              <w:right w:type="dxa" w:w="120"/>
            </w:tcMar>
          </w:tcPr>
          <w:p>
            <w:r>
              <w:rPr>
                <w:rFonts w:ascii="Calibri" w:cs="Calibri" w:eastAsia="Calibri" w:hAnsi="Calibri"/>
                <w:sz w:val="20"/>
                <w:szCs w:val="20"/>
              </w:rPr>
              <w:t xml:space="preserve"/>
            </w:r>
          </w:p>
        </w:tc>
      </w:tr>
      <w:tr>
        <w:tc>
          <w:tcPr>
            <w:tcMar>
              <w:top w:type="dxa" w:w="100"/>
              <w:left w:type="dxa" w:w="120"/>
              <w:bottom w:type="dxa" w:w="100"/>
              <w:right w:type="dxa" w:w="120"/>
            </w:tcMar>
          </w:tcPr>
          <w:p>
            <w:r>
              <w:rPr>
                <w:rFonts w:ascii="Calibri" w:cs="Calibri" w:eastAsia="Calibri" w:hAnsi="Calibri"/>
                <w:sz w:val="20"/>
                <w:szCs w:val="20"/>
              </w:rPr>
              <w:t xml:space="preserve">Circuit depth</w:t>
            </w:r>
          </w:p>
        </w:tc>
        <w:tc>
          <w:tcPr>
            <w:tcMar>
              <w:top w:type="dxa" w:w="100"/>
              <w:left w:type="dxa" w:w="120"/>
              <w:bottom w:type="dxa" w:w="100"/>
              <w:right w:type="dxa" w:w="120"/>
            </w:tcMar>
          </w:tcPr>
          <w:p>
            <w:r>
              <w:rPr>
                <w:rFonts w:ascii="Calibri" w:cs="Calibri" w:eastAsia="Calibri" w:hAnsi="Calibri"/>
                <w:sz w:val="20"/>
                <w:szCs w:val="20"/>
              </w:rPr>
              <w:t xml:space="preserve"/>
            </w:r>
          </w:p>
        </w:tc>
        <w:tc>
          <w:tcPr>
            <w:tcMar>
              <w:top w:type="dxa" w:w="100"/>
              <w:left w:type="dxa" w:w="120"/>
              <w:bottom w:type="dxa" w:w="100"/>
              <w:right w:type="dxa" w:w="120"/>
            </w:tcMar>
          </w:tcPr>
          <w:p>
            <w:r>
              <w:rPr>
                <w:rFonts w:ascii="Calibri" w:cs="Calibri" w:eastAsia="Calibri" w:hAnsi="Calibri"/>
                <w:sz w:val="20"/>
                <w:szCs w:val="20"/>
              </w:rPr>
              <w:t xml:space="preserve"/>
            </w:r>
          </w:p>
        </w:tc>
        <w:tc>
          <w:tcPr>
            <w:tcMar>
              <w:top w:type="dxa" w:w="100"/>
              <w:left w:type="dxa" w:w="120"/>
              <w:bottom w:type="dxa" w:w="100"/>
              <w:right w:type="dxa" w:w="120"/>
            </w:tcMar>
          </w:tcPr>
          <w:p>
            <w:r>
              <w:rPr>
                <w:rFonts w:ascii="Calibri" w:cs="Calibri" w:eastAsia="Calibri" w:hAnsi="Calibri"/>
                <w:sz w:val="20"/>
                <w:szCs w:val="20"/>
              </w:rPr>
              <w:t xml:space="preserve"/>
            </w:r>
          </w:p>
        </w:tc>
      </w:tr>
      <w:tr>
        <w:tc>
          <w:tcPr>
            <w:tcMar>
              <w:top w:type="dxa" w:w="100"/>
              <w:left w:type="dxa" w:w="120"/>
              <w:bottom w:type="dxa" w:w="100"/>
              <w:right w:type="dxa" w:w="120"/>
            </w:tcMar>
          </w:tcPr>
          <w:p>
            <w:r>
              <w:rPr>
                <w:rFonts w:ascii="Calibri" w:cs="Calibri" w:eastAsia="Calibri" w:hAnsi="Calibri"/>
                <w:sz w:val="20"/>
                <w:szCs w:val="20"/>
              </w:rPr>
              <w:t xml:space="preserve">Unitary fidelity</w:t>
            </w:r>
          </w:p>
        </w:tc>
        <w:tc>
          <w:tcPr>
            <w:tcMar>
              <w:top w:type="dxa" w:w="100"/>
              <w:left w:type="dxa" w:w="120"/>
              <w:bottom w:type="dxa" w:w="100"/>
              <w:right w:type="dxa" w:w="120"/>
            </w:tcMar>
          </w:tcPr>
          <w:p>
            <w:r>
              <w:rPr>
                <w:rFonts w:ascii="Calibri" w:cs="Calibri" w:eastAsia="Calibri" w:hAnsi="Calibri"/>
                <w:sz w:val="20"/>
                <w:szCs w:val="20"/>
              </w:rPr>
              <w:t xml:space="preserve"/>
            </w:r>
          </w:p>
        </w:tc>
        <w:tc>
          <w:tcPr>
            <w:tcMar>
              <w:top w:type="dxa" w:w="100"/>
              <w:left w:type="dxa" w:w="120"/>
              <w:bottom w:type="dxa" w:w="100"/>
              <w:right w:type="dxa" w:w="120"/>
            </w:tcMar>
          </w:tcPr>
          <w:p>
            <w:r>
              <w:rPr>
                <w:rFonts w:ascii="Calibri" w:cs="Calibri" w:eastAsia="Calibri" w:hAnsi="Calibri"/>
                <w:sz w:val="20"/>
                <w:szCs w:val="20"/>
              </w:rPr>
              <w:t xml:space="preserve"/>
            </w:r>
          </w:p>
        </w:tc>
        <w:tc>
          <w:tcPr>
            <w:tcMar>
              <w:top w:type="dxa" w:w="100"/>
              <w:left w:type="dxa" w:w="120"/>
              <w:bottom w:type="dxa" w:w="100"/>
              <w:right w:type="dxa" w:w="120"/>
            </w:tcMar>
          </w:tcPr>
          <w:p>
            <w:r>
              <w:rPr>
                <w:rFonts w:ascii="Calibri" w:cs="Calibri" w:eastAsia="Calibri" w:hAnsi="Calibri"/>
                <w:sz w:val="20"/>
                <w:szCs w:val="20"/>
              </w:rPr>
              <w:t xml:space="preserve"/>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7DAE0" w:sz="4"/>
              <w:left w:val="single" w:color="D7DAE0" w:sz="4"/>
              <w:bottom w:val="single" w:color="D7DAE0" w:sz="4"/>
              <w:right w:val="single" w:color="D7DAE0" w:sz="4"/>
            </w:tcBorders>
            <w:shd w:fill="F4F5F7" w:val="clear"/>
            <w:tcMar>
              <w:top w:type="dxa" w:w="140"/>
              <w:left w:type="dxa" w:w="200"/>
              <w:bottom w:type="dxa" w:w="140"/>
              <w:right w:type="dxa" w:w="200"/>
            </w:tcMar>
          </w:tcPr>
          <w:p>
            <w:r>
              <w:rPr>
                <w:rFonts w:ascii="Calibri" w:cs="Calibri" w:eastAsia="Calibri" w:hAnsi="Calibri"/>
                <w:i/>
                <w:iCs/>
                <w:color w:val="595959"/>
                <w:sz w:val="19"/>
                <w:szCs w:val="19"/>
              </w:rPr>
              <w:t xml:space="preserve">Note here if any figure is a median, a single run, or an average across repeats -- and whether run-to-run variance was observed (see both papers' own practice of reporting a range rather than one cherry-picked number where variance was real).</w:t>
            </w:r>
          </w:p>
        </w:tc>
      </w:tr>
    </w:tbl>
    <w:p>
      <w:pPr>
        <w:pBdr>
          <w:bottom w:val="single" w:color="D7DAE0" w:sz="4" w:space="6"/>
        </w:pBdr>
        <w:spacing w:after="180" w:before="400"/>
      </w:pPr>
      <w:r>
        <w:rPr>
          <w:rFonts w:ascii="Calibri" w:cs="Calibri" w:eastAsia="Calibri" w:hAnsi="Calibri"/>
          <w:b/>
          <w:bCs/>
          <w:color w:val="C0392B"/>
          <w:sz w:val="26"/>
          <w:szCs w:val="26"/>
        </w:rPr>
        <w:t xml:space="preserve">6. </w:t>
      </w:r>
      <w:r>
        <w:rPr>
          <w:rFonts w:ascii="Calibri" w:cs="Calibri" w:eastAsia="Calibri" w:hAnsi="Calibri"/>
          <w:b/>
          <w:bCs/>
          <w:color w:val="1B2A4A"/>
          <w:sz w:val="26"/>
          <w:szCs w:val="26"/>
        </w:rPr>
        <w:t xml:space="preserve">Limitations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7DAE0" w:sz="4"/>
              <w:left w:val="single" w:color="D7DAE0" w:sz="4"/>
              <w:bottom w:val="single" w:color="D7DAE0" w:sz="4"/>
              <w:right w:val="single" w:color="D7DAE0" w:sz="4"/>
            </w:tcBorders>
            <w:shd w:fill="F4F5F7" w:val="clear"/>
            <w:tcMar>
              <w:top w:type="dxa" w:w="140"/>
              <w:left w:type="dxa" w:w="200"/>
              <w:bottom w:type="dxa" w:w="140"/>
              <w:right w:type="dxa" w:w="200"/>
            </w:tcMar>
          </w:tcPr>
          <w:p>
            <w:r>
              <w:rPr>
                <w:rFonts w:ascii="Calibri" w:cs="Calibri" w:eastAsia="Calibri" w:hAnsi="Calibri"/>
                <w:i/>
                <w:iCs/>
                <w:color w:val="595959"/>
                <w:sz w:val="19"/>
                <w:szCs w:val="19"/>
              </w:rPr>
              <w:t xml:space="preserve">What this POC does NOT establish. Every finding in both published papers includes this section deliberately -- keep that standard here. Examples: untested circuit families, untested topologies, scale not yet reached, anything reduced from the full papers' own methodology to fit the POC's timeline.</w:t>
            </w:r>
          </w:p>
        </w:tc>
      </w:tr>
    </w:tbl>
    <w:p>
      <w:pPr>
        <w:pBdr>
          <w:bottom w:val="single" w:color="D7DAE0" w:sz="4"/>
        </w:pBdr>
        <w:spacing w:after="240"/>
      </w:pPr>
      <w:r>
        <w:rPr>
          <w:rFonts w:ascii="Calibri" w:cs="Calibri" w:eastAsia="Calibri" w:hAnsi="Calibri"/>
          <w:sz w:val="21"/>
          <w:szCs w:val="21"/>
        </w:rPr>
        <w:t xml:space="preserve"/>
      </w:r>
    </w:p>
    <w:p>
      <w:pPr>
        <w:pBdr>
          <w:bottom w:val="single" w:color="D7DAE0" w:sz="4"/>
        </w:pBdr>
        <w:spacing w:after="240"/>
      </w:pPr>
      <w:r>
        <w:rPr>
          <w:rFonts w:ascii="Calibri" w:cs="Calibri" w:eastAsia="Calibri" w:hAnsi="Calibri"/>
          <w:sz w:val="21"/>
          <w:szCs w:val="21"/>
        </w:rPr>
        <w:t xml:space="preserve"/>
      </w:r>
    </w:p>
    <w:p>
      <w:pPr>
        <w:pBdr>
          <w:bottom w:val="single" w:color="D7DAE0" w:sz="4"/>
        </w:pBdr>
        <w:spacing w:after="240"/>
      </w:pPr>
      <w:r>
        <w:rPr>
          <w:rFonts w:ascii="Calibri" w:cs="Calibri" w:eastAsia="Calibri" w:hAnsi="Calibri"/>
          <w:sz w:val="21"/>
          <w:szCs w:val="21"/>
        </w:rPr>
        <w:t xml:space="preserve"/>
      </w:r>
    </w:p>
    <w:p>
      <w:pPr>
        <w:pBdr>
          <w:bottom w:val="single" w:color="D7DAE0" w:sz="4"/>
        </w:pBdr>
        <w:spacing w:after="240"/>
      </w:pPr>
      <w:r>
        <w:rPr>
          <w:rFonts w:ascii="Calibri" w:cs="Calibri" w:eastAsia="Calibri" w:hAnsi="Calibri"/>
          <w:sz w:val="21"/>
          <w:szCs w:val="21"/>
        </w:rPr>
        <w:t xml:space="preserve"/>
      </w:r>
    </w:p>
    <w:p>
      <w:pPr>
        <w:pBdr>
          <w:bottom w:val="single" w:color="D7DAE0" w:sz="4" w:space="6"/>
        </w:pBdr>
        <w:spacing w:after="180" w:before="400"/>
      </w:pPr>
      <w:r>
        <w:rPr>
          <w:rFonts w:ascii="Calibri" w:cs="Calibri" w:eastAsia="Calibri" w:hAnsi="Calibri"/>
          <w:b/>
          <w:bCs/>
          <w:color w:val="C0392B"/>
          <w:sz w:val="26"/>
          <w:szCs w:val="26"/>
        </w:rPr>
        <w:t xml:space="preserve">7. </w:t>
      </w:r>
      <w:r>
        <w:rPr>
          <w:rFonts w:ascii="Calibri" w:cs="Calibri" w:eastAsia="Calibri" w:hAnsi="Calibri"/>
          <w:b/>
          <w:bCs/>
          <w:color w:val="1B2A4A"/>
          <w:sz w:val="26"/>
          <w:szCs w:val="26"/>
        </w:rPr>
        <w:t xml:space="preserve">Recommended next step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7DAE0" w:sz="4"/>
              <w:left w:val="single" w:color="D7DAE0" w:sz="4"/>
              <w:bottom w:val="single" w:color="D7DAE0" w:sz="4"/>
              <w:right w:val="single" w:color="D7DAE0" w:sz="4"/>
            </w:tcBorders>
            <w:shd w:fill="F4F5F7" w:val="clear"/>
            <w:tcMar>
              <w:top w:type="dxa" w:w="140"/>
              <w:left w:type="dxa" w:w="200"/>
              <w:bottom w:type="dxa" w:w="140"/>
              <w:right w:type="dxa" w:w="200"/>
            </w:tcMar>
          </w:tcPr>
          <w:p>
            <w:r>
              <w:rPr>
                <w:rFonts w:ascii="Calibri" w:cs="Calibri" w:eastAsia="Calibri" w:hAnsi="Calibri"/>
                <w:i/>
                <w:iCs/>
                <w:color w:val="595959"/>
                <w:sz w:val="19"/>
                <w:szCs w:val="19"/>
              </w:rPr>
              <w:t xml:space="preserve">One of: proceed to a deeper evaluation, proceed to a commercial conversation (see "Working with us" in the main README -- a separate agreement, not this report, is where that gets settled), or this circuit/use case isn't currently a good fit and here's why.</w:t>
            </w:r>
          </w:p>
        </w:tc>
      </w:tr>
    </w:tbl>
    <w:p>
      <w:pPr>
        <w:pBdr>
          <w:bottom w:val="single" w:color="D7DAE0" w:sz="4"/>
        </w:pBdr>
        <w:spacing w:after="240"/>
      </w:pPr>
      <w:r>
        <w:rPr>
          <w:rFonts w:ascii="Calibri" w:cs="Calibri" w:eastAsia="Calibri" w:hAnsi="Calibri"/>
          <w:sz w:val="21"/>
          <w:szCs w:val="21"/>
        </w:rPr>
        <w:t xml:space="preserve"/>
      </w:r>
    </w:p>
    <w:p>
      <w:pPr>
        <w:pBdr>
          <w:bottom w:val="single" w:color="D7DAE0" w:sz="4"/>
        </w:pBdr>
        <w:spacing w:after="240"/>
      </w:pPr>
      <w:r>
        <w:rPr>
          <w:rFonts w:ascii="Calibri" w:cs="Calibri" w:eastAsia="Calibri" w:hAnsi="Calibri"/>
          <w:sz w:val="21"/>
          <w:szCs w:val="21"/>
        </w:rPr>
        <w:t xml:space="preserve"/>
      </w:r>
    </w:p>
    <w:p>
      <w:pPr>
        <w:pBdr>
          <w:bottom w:val="single" w:color="D7DAE0" w:sz="4"/>
        </w:pBdr>
        <w:spacing w:after="240"/>
      </w:pPr>
      <w:r>
        <w:rPr>
          <w:rFonts w:ascii="Calibri" w:cs="Calibri" w:eastAsia="Calibri" w:hAnsi="Calibri"/>
          <w:sz w:val="21"/>
          <w:szCs w:val="21"/>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PSF-Zero — POC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2026-09-21T01:27:58.333Z</dcterms:created>
  <dcterms:modified xsi:type="dcterms:W3CDTF">2026-09-21T01:27:58.333Z</dcterms:modified>
</cp:coreProperties>
</file>

<file path=docProps/custom.xml><?xml version="1.0" encoding="utf-8"?>
<Properties xmlns="http://schemas.openxmlformats.org/officeDocument/2006/custom-properties" xmlns:vt="http://schemas.openxmlformats.org/officeDocument/2006/docPropsVTypes"/>
</file>