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Coverage Check</w:t>
      </w:r>
    </w:p>
    <w:p>
      <w:r>
        <w:rPr>
          <w:i/>
          <w:sz w:val="24"/>
        </w:rPr>
        <w:t>Spring 2025</w:t>
      </w:r>
    </w:p>
    <w:p>
      <w:r>
        <w:rPr>
          <w:i/>
          <w:color w:val="888888"/>
          <w:sz w:val="18"/>
        </w:rPr>
        <w:t>Generated May 29, 2026</w:t>
      </w:r>
    </w:p>
    <w:p>
      <w:pPr>
        <w:pStyle w:val="Heading2"/>
      </w:pPr>
      <w:r>
        <w:t>Missing assessments in Spring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Course</w:t>
            </w:r>
          </w:p>
        </w:tc>
      </w:tr>
      <w:tr>
        <w:tc>
          <w:tcPr>
            <w:tcW w:type="dxa" w:w="4968"/>
          </w:tcPr>
          <w:p>
            <w:r>
              <w:t>CE</w:t>
            </w:r>
          </w:p>
        </w:tc>
        <w:tc>
          <w:tcPr>
            <w:tcW w:type="dxa" w:w="4968"/>
          </w:tcPr>
          <w:p>
            <w:r>
              <w:t>CE 339</w:t>
            </w:r>
          </w:p>
        </w:tc>
      </w:tr>
      <w:tr>
        <w:tc>
          <w:tcPr>
            <w:tcW w:type="dxa" w:w="4968"/>
          </w:tcPr>
          <w:p>
            <w:r>
              <w:t>CE</w:t>
            </w:r>
          </w:p>
        </w:tc>
        <w:tc>
          <w:tcPr>
            <w:tcW w:type="dxa" w:w="4968"/>
          </w:tcPr>
          <w:p>
            <w:r>
              <w:t>CE 477</w:t>
            </w:r>
          </w:p>
        </w:tc>
      </w:tr>
      <w:tr>
        <w:tc>
          <w:tcPr>
            <w:tcW w:type="dxa" w:w="4968"/>
          </w:tcPr>
          <w:p>
            <w:r>
              <w:t>CON</w:t>
            </w:r>
          </w:p>
        </w:tc>
        <w:tc>
          <w:tcPr>
            <w:tcW w:type="dxa" w:w="4968"/>
          </w:tcPr>
          <w:p>
            <w:r>
              <w:t>CE 469</w:t>
            </w:r>
          </w:p>
        </w:tc>
      </w:tr>
      <w:tr>
        <w:tc>
          <w:tcPr>
            <w:tcW w:type="dxa" w:w="4968"/>
          </w:tcPr>
          <w:p>
            <w:r>
              <w:t>ENE</w:t>
            </w:r>
          </w:p>
        </w:tc>
        <w:tc>
          <w:tcPr>
            <w:tcW w:type="dxa" w:w="4968"/>
          </w:tcPr>
          <w:p>
            <w:r>
              <w:t>CE 477</w:t>
            </w:r>
          </w:p>
        </w:tc>
      </w:tr>
      <w:tr>
        <w:tc>
          <w:tcPr>
            <w:tcW w:type="dxa" w:w="4968"/>
          </w:tcPr>
          <w:p>
            <w:r>
              <w:t>ENE</w:t>
            </w:r>
          </w:p>
        </w:tc>
        <w:tc>
          <w:tcPr>
            <w:tcW w:type="dxa" w:w="4968"/>
          </w:tcPr>
          <w:p>
            <w:r>
              <w:t>CE 481</w:t>
            </w:r>
          </w:p>
        </w:tc>
      </w:tr>
    </w:tbl>
    <w:p>
      <w:pPr>
        <w:pStyle w:val="Heading2"/>
      </w:pPr>
      <w:r>
        <w:t>Semester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19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987"/>
          </w:tcPr>
          <w:p>
            <w:r>
              <w:rPr>
                <w:b/>
              </w:rPr>
              <w:t>Assessed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1987"/>
          </w:tcPr>
          <w:p>
            <w:r>
              <w:rPr>
                <w:b/>
              </w:rPr>
              <w:t>% assessed</w:t>
            </w:r>
          </w:p>
        </w:tc>
      </w:tr>
      <w:tr>
        <w:tc>
          <w:tcPr>
            <w:tcW w:type="dxa" w:w="1987"/>
          </w:tcPr>
          <w:p>
            <w:r>
              <w:t>CE</w:t>
            </w:r>
          </w:p>
        </w:tc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71.4%</w:t>
            </w:r>
          </w:p>
        </w:tc>
      </w:tr>
      <w:tr>
        <w:tc>
          <w:tcPr>
            <w:tcW w:type="dxa" w:w="1987"/>
          </w:tcPr>
          <w:p>
            <w:r>
              <w:t>CON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66.7%</w:t>
            </w:r>
          </w:p>
        </w:tc>
      </w:tr>
      <w:tr>
        <w:tc>
          <w:tcPr>
            <w:tcW w:type="dxa" w:w="1987"/>
          </w:tcPr>
          <w:p>
            <w:r>
              <w:t>ENE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</w:tr>
    </w:tbl>
    <w:p>
      <w:r>
        <w:rPr>
          <w:i/>
          <w:sz w:val="18"/>
        </w:rPr>
        <w:t>A course counts as 'missing' when every row has a blank submitter.</w:t>
      </w:r>
    </w:p>
    <w:p>
      <w:pPr>
        <w:pStyle w:val="Heading2"/>
      </w:pPr>
      <w:r>
        <w:t>Coverage trend by year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ENE</w:t>
            </w:r>
          </w:p>
        </w:tc>
      </w:tr>
      <w:tr>
        <w:tc>
          <w:tcPr>
            <w:tcW w:type="dxa" w:w="2484"/>
          </w:tcPr>
          <w:p>
            <w:r>
              <w:t>2020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93</w:t>
            </w:r>
          </w:p>
        </w:tc>
        <w:tc>
          <w:tcPr>
            <w:tcW w:type="dxa" w:w="2484"/>
          </w:tcPr>
          <w:p>
            <w:r>
              <w:t>100</w:t>
            </w:r>
          </w:p>
        </w:tc>
      </w:tr>
      <w:tr>
        <w:tc>
          <w:tcPr>
            <w:tcW w:type="dxa" w:w="2484"/>
          </w:tcPr>
          <w:p>
            <w:r>
              <w:t>2021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93</w:t>
            </w:r>
          </w:p>
        </w:tc>
        <w:tc>
          <w:tcPr>
            <w:tcW w:type="dxa" w:w="2484"/>
          </w:tcPr>
          <w:p>
            <w:r>
              <w:t>100</w:t>
            </w:r>
          </w:p>
        </w:tc>
      </w:tr>
      <w:tr>
        <w:tc>
          <w:tcPr>
            <w:tcW w:type="dxa" w:w="2484"/>
          </w:tcPr>
          <w:p>
            <w:r>
              <w:t>2022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100</w:t>
            </w:r>
          </w:p>
        </w:tc>
      </w:tr>
      <w:tr>
        <w:tc>
          <w:tcPr>
            <w:tcW w:type="dxa" w:w="2484"/>
          </w:tcPr>
          <w:p>
            <w:r>
              <w:t>2023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100</w:t>
            </w:r>
          </w:p>
        </w:tc>
      </w:tr>
      <w:tr>
        <w:tc>
          <w:tcPr>
            <w:tcW w:type="dxa" w:w="2484"/>
          </w:tcPr>
          <w:p>
            <w:r>
              <w:t>2024</w:t>
            </w:r>
          </w:p>
        </w:tc>
        <w:tc>
          <w:tcPr>
            <w:tcW w:type="dxa" w:w="2484"/>
          </w:tcPr>
          <w:p>
            <w:r>
              <w:t>78</w:t>
            </w:r>
          </w:p>
        </w:tc>
        <w:tc>
          <w:tcPr>
            <w:tcW w:type="dxa" w:w="2484"/>
          </w:tcPr>
          <w:p>
            <w:r>
              <w:t>60</w:t>
            </w:r>
          </w:p>
        </w:tc>
        <w:tc>
          <w:tcPr>
            <w:tcW w:type="dxa" w:w="2484"/>
          </w:tcPr>
          <w:p>
            <w:r>
              <w:t>57</w:t>
            </w:r>
          </w:p>
        </w:tc>
      </w:tr>
      <w:tr>
        <w:tc>
          <w:tcPr>
            <w:tcW w:type="dxa" w:w="2484"/>
          </w:tcPr>
          <w:p>
            <w:r>
              <w:t>2025</w:t>
            </w:r>
          </w:p>
        </w:tc>
        <w:tc>
          <w:tcPr>
            <w:tcW w:type="dxa" w:w="2484"/>
          </w:tcPr>
          <w:p>
            <w:r>
              <w:t>71</w:t>
            </w:r>
          </w:p>
        </w:tc>
        <w:tc>
          <w:tcPr>
            <w:tcW w:type="dxa" w:w="2484"/>
          </w:tcPr>
          <w:p>
            <w:r>
              <w:t>67</w:t>
            </w:r>
          </w:p>
        </w:tc>
        <w:tc>
          <w:tcPr>
            <w:tcW w:type="dxa" w:w="2484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