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CE 488</w:t>
      </w:r>
    </w:p>
    <w:p>
      <w:r>
        <w:rPr>
          <w:i/>
          <w:color w:val="888888"/>
          <w:sz w:val="18"/>
        </w:rPr>
        <w:t>Generated May 29, 2026</w:t>
      </w:r>
    </w:p>
    <w:p>
      <w:pPr>
        <w:pStyle w:val="Heading2"/>
      </w:pPr>
      <w:r>
        <w:t>Programs</w:t>
      </w:r>
    </w:p>
    <w:p>
      <w:r>
        <w:t>CE / ENE</w:t>
      </w:r>
    </w:p>
    <w:p>
      <w:pPr>
        <w:pStyle w:val="Heading2"/>
      </w:pPr>
      <w:r>
        <w:t>Sub-Outcomes</w:t>
      </w:r>
    </w:p>
    <w:p>
      <w:pPr>
        <w:pStyle w:val="ListBullet"/>
      </w:pPr>
      <w:r>
        <w:rPr>
          <w:b/>
        </w:rPr>
        <w:t>1.2:</w:t>
      </w:r>
      <w:r>
        <w:t xml:space="preserve"> Formulate the solution to engineering problems.</w:t>
      </w:r>
    </w:p>
    <w:p>
      <w:pPr>
        <w:pStyle w:val="ListBullet"/>
      </w:pPr>
      <w:r>
        <w:rPr>
          <w:b/>
        </w:rPr>
        <w:t>2.1:</w:t>
      </w:r>
      <w:r>
        <w:t xml:space="preserve"> Analyze engineering design with consideration of economic, environmental, social, and/or other relevant constraints and/or specifications.</w:t>
      </w:r>
    </w:p>
    <w:p>
      <w:pPr>
        <w:pStyle w:val="ListBullet"/>
      </w:pPr>
      <w:r>
        <w:rPr>
          <w:b/>
        </w:rPr>
        <w:t>2.2:</w:t>
      </w:r>
      <w:r>
        <w:t xml:space="preserve"> Develop engineering designs that meet economic, environmental, social, and/or other relevant constraints and/or specifications.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