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2E67" w14:textId="77777777" w:rsidR="00E015F8" w:rsidRPr="00E015F8" w:rsidRDefault="00E015F8" w:rsidP="00E015F8">
      <w:pPr>
        <w:jc w:val="right"/>
        <w:rPr>
          <w:rFonts w:ascii="Times New Roman" w:eastAsiaTheme="minorEastAsia" w:hAnsi="Times New Roman" w:cs="Times New Roman"/>
          <w:kern w:val="0"/>
          <w:sz w:val="28"/>
          <w:szCs w:val="28"/>
          <w:lang w:val="en-US" w:eastAsia="ja-JP"/>
          <w14:ligatures w14:val="none"/>
        </w:rPr>
      </w:pPr>
      <w:r w:rsidRPr="00E015F8">
        <w:rPr>
          <w:rFonts w:ascii="Times New Roman" w:eastAsiaTheme="minorEastAsia" w:hAnsi="Times New Roman" w:cs="Times New Roman"/>
          <w:kern w:val="0"/>
          <w:sz w:val="28"/>
          <w:szCs w:val="28"/>
          <w:lang w:val="en-US" w:eastAsia="ja-JP"/>
          <w14:ligatures w14:val="none"/>
        </w:rPr>
        <w:t>Name</w:t>
      </w:r>
      <w:r w:rsidRPr="00E015F8">
        <w:rPr>
          <w:rFonts w:ascii="Times New Roman" w:eastAsiaTheme="minorEastAsia" w:hAnsi="Times New Roman" w:cs="Times New Roman"/>
          <w:kern w:val="0"/>
          <w:sz w:val="28"/>
          <w:szCs w:val="28"/>
          <w:lang w:val="en-US" w:eastAsia="ja-JP"/>
          <w14:ligatures w14:val="none"/>
        </w:rPr>
        <w:tab/>
        <w:t>: Tionusa Catur Pamungkas</w:t>
      </w:r>
      <w:r w:rsidRPr="00E015F8">
        <w:rPr>
          <w:rFonts w:ascii="Times New Roman" w:eastAsiaTheme="minorEastAsia" w:hAnsi="Times New Roman" w:cs="Times New Roman"/>
          <w:kern w:val="0"/>
          <w:sz w:val="28"/>
          <w:szCs w:val="28"/>
          <w:lang w:val="en-US" w:eastAsia="ja-JP"/>
          <w14:ligatures w14:val="none"/>
        </w:rPr>
        <w:tab/>
      </w:r>
      <w:r w:rsidRPr="00E015F8">
        <w:rPr>
          <w:rFonts w:ascii="Times New Roman" w:eastAsiaTheme="minorEastAsia" w:hAnsi="Times New Roman" w:cs="Times New Roman"/>
          <w:kern w:val="0"/>
          <w:sz w:val="28"/>
          <w:szCs w:val="28"/>
          <w:lang w:val="en-US" w:eastAsia="ja-JP"/>
          <w14:ligatures w14:val="none"/>
        </w:rPr>
        <w:br/>
        <w:t>NIM</w:t>
      </w:r>
      <w:r w:rsidRPr="00E015F8">
        <w:rPr>
          <w:rFonts w:ascii="Times New Roman" w:eastAsiaTheme="minorEastAsia" w:hAnsi="Times New Roman" w:cs="Times New Roman"/>
          <w:kern w:val="0"/>
          <w:sz w:val="28"/>
          <w:szCs w:val="28"/>
          <w:lang w:val="en-US" w:eastAsia="ja-JP"/>
          <w14:ligatures w14:val="none"/>
        </w:rPr>
        <w:tab/>
        <w:t>: 2341720093</w:t>
      </w:r>
      <w:r w:rsidRPr="00E015F8">
        <w:rPr>
          <w:rFonts w:ascii="Times New Roman" w:eastAsiaTheme="minorEastAsia" w:hAnsi="Times New Roman" w:cs="Times New Roman"/>
          <w:kern w:val="0"/>
          <w:sz w:val="28"/>
          <w:szCs w:val="28"/>
          <w:lang w:val="en-US" w:eastAsia="ja-JP"/>
          <w14:ligatures w14:val="none"/>
        </w:rPr>
        <w:tab/>
      </w:r>
      <w:r w:rsidRPr="00E015F8">
        <w:rPr>
          <w:rFonts w:ascii="Times New Roman" w:eastAsiaTheme="minorEastAsia" w:hAnsi="Times New Roman" w:cs="Times New Roman"/>
          <w:kern w:val="0"/>
          <w:sz w:val="28"/>
          <w:szCs w:val="28"/>
          <w:lang w:val="en-US" w:eastAsia="ja-JP"/>
          <w14:ligatures w14:val="none"/>
        </w:rPr>
        <w:tab/>
      </w:r>
      <w:r w:rsidRPr="00E015F8">
        <w:rPr>
          <w:rFonts w:ascii="Times New Roman" w:eastAsiaTheme="minorEastAsia" w:hAnsi="Times New Roman" w:cs="Times New Roman"/>
          <w:kern w:val="0"/>
          <w:sz w:val="28"/>
          <w:szCs w:val="28"/>
          <w:lang w:val="en-US" w:eastAsia="ja-JP"/>
          <w14:ligatures w14:val="none"/>
        </w:rPr>
        <w:tab/>
      </w:r>
    </w:p>
    <w:p w14:paraId="5F05EB1A" w14:textId="51E41CFB" w:rsidR="00E015F8" w:rsidRPr="00E015F8" w:rsidRDefault="00E015F8" w:rsidP="00E015F8">
      <w:pPr>
        <w:rPr>
          <w:rFonts w:ascii="Arial" w:hAnsi="Arial" w:cs="Arial"/>
          <w:sz w:val="26"/>
          <w:szCs w:val="26"/>
        </w:rPr>
      </w:pPr>
      <w:r w:rsidRPr="00E015F8">
        <w:rPr>
          <w:rFonts w:ascii="Arial" w:hAnsi="Arial" w:cs="Arial"/>
          <w:b/>
          <w:bCs/>
          <w:sz w:val="26"/>
          <w:szCs w:val="26"/>
        </w:rPr>
        <w:t>Analisa</w:t>
      </w:r>
      <w:r w:rsidR="003A6638">
        <w:rPr>
          <w:rFonts w:ascii="Arial" w:hAnsi="Arial" w:cs="Arial"/>
          <w:b/>
          <w:bCs/>
          <w:sz w:val="26"/>
          <w:szCs w:val="26"/>
        </w:rPr>
        <w:t xml:space="preserve"> </w:t>
      </w:r>
      <w:r w:rsidRPr="00E015F8">
        <w:rPr>
          <w:rFonts w:ascii="Arial" w:hAnsi="Arial" w:cs="Arial"/>
          <w:b/>
          <w:bCs/>
          <w:sz w:val="26"/>
          <w:szCs w:val="26"/>
        </w:rPr>
        <w:t>menggunakan butir-butir Pancasila dari kelima sila</w:t>
      </w:r>
      <w:r>
        <w:rPr>
          <w:rFonts w:ascii="Arial" w:hAnsi="Arial" w:cs="Arial"/>
          <w:b/>
          <w:bCs/>
          <w:sz w:val="26"/>
          <w:szCs w:val="26"/>
        </w:rPr>
        <w:t xml:space="preserve">: </w:t>
      </w:r>
      <w:hyperlink r:id="rId6" w:history="1">
        <w:r w:rsidRPr="001D177A">
          <w:rPr>
            <w:rStyle w:val="Hyperlink"/>
            <w:rFonts w:ascii="Arial" w:hAnsi="Arial" w:cs="Arial"/>
            <w:sz w:val="26"/>
            <w:szCs w:val="26"/>
          </w:rPr>
          <w:t>https://www.kominfo.go.id/content/detail/9057/miah-jangan-gunakan-medsos-untuk-memecah-belah/0/sorotan_media</w:t>
        </w:r>
      </w:hyperlink>
      <w:r>
        <w:rPr>
          <w:rFonts w:ascii="Arial" w:hAnsi="Arial" w:cs="Arial"/>
          <w:sz w:val="26"/>
          <w:szCs w:val="26"/>
        </w:rPr>
        <w:t xml:space="preserve"> </w:t>
      </w:r>
    </w:p>
    <w:p w14:paraId="04DC182C" w14:textId="364AD49A" w:rsidR="00E015F8" w:rsidRDefault="00E015F8" w:rsidP="00E015F8">
      <w:pPr>
        <w:rPr>
          <w:rFonts w:ascii="Arial" w:hAnsi="Arial" w:cs="Arial"/>
          <w:sz w:val="24"/>
          <w:szCs w:val="24"/>
        </w:rPr>
      </w:pPr>
      <w:r>
        <w:rPr>
          <w:rFonts w:ascii="Arial" w:hAnsi="Arial" w:cs="Arial"/>
          <w:sz w:val="24"/>
          <w:szCs w:val="24"/>
        </w:rPr>
        <w:t>Sila</w:t>
      </w:r>
      <w:r w:rsidRPr="00E015F8">
        <w:rPr>
          <w:rFonts w:ascii="Arial" w:hAnsi="Arial" w:cs="Arial"/>
          <w:sz w:val="24"/>
          <w:szCs w:val="24"/>
        </w:rPr>
        <w:t xml:space="preserve"> pertama:</w:t>
      </w:r>
      <w:r>
        <w:rPr>
          <w:rFonts w:ascii="Arial" w:hAnsi="Arial" w:cs="Arial"/>
          <w:sz w:val="24"/>
          <w:szCs w:val="24"/>
        </w:rPr>
        <w:t xml:space="preserve"> Ketuhanan Yang Maha Esa</w:t>
      </w:r>
    </w:p>
    <w:p w14:paraId="2888CB18" w14:textId="04973F09" w:rsidR="000C501C" w:rsidRPr="00E015F8" w:rsidRDefault="000C501C" w:rsidP="00E015F8">
      <w:pPr>
        <w:rPr>
          <w:rFonts w:ascii="Arial" w:hAnsi="Arial" w:cs="Arial"/>
          <w:sz w:val="24"/>
          <w:szCs w:val="24"/>
        </w:rPr>
      </w:pPr>
      <w:r>
        <w:rPr>
          <w:rFonts w:ascii="Arial" w:hAnsi="Arial" w:cs="Arial"/>
          <w:sz w:val="24"/>
          <w:szCs w:val="24"/>
        </w:rPr>
        <w:t xml:space="preserve">Butir </w:t>
      </w:r>
      <w:r w:rsidR="00B070EE">
        <w:rPr>
          <w:rFonts w:ascii="Arial" w:hAnsi="Arial" w:cs="Arial"/>
          <w:sz w:val="24"/>
          <w:szCs w:val="24"/>
        </w:rPr>
        <w:t>Ketiga</w:t>
      </w:r>
      <w:r>
        <w:rPr>
          <w:rFonts w:ascii="Arial" w:hAnsi="Arial" w:cs="Arial"/>
          <w:sz w:val="24"/>
          <w:szCs w:val="24"/>
        </w:rPr>
        <w:t xml:space="preserve">: </w:t>
      </w:r>
      <w:r w:rsidR="00B070EE">
        <w:rPr>
          <w:rFonts w:ascii="Arial" w:hAnsi="Arial" w:cs="Arial"/>
          <w:sz w:val="24"/>
          <w:szCs w:val="24"/>
        </w:rPr>
        <w:t>Mengembangkan rasa sikap hormat menghormati dan bekerja sama antara pemeluk agama dengan kepercayaan yang berbeda-beda terhadap Tuhan yang Maha Esa.</w:t>
      </w:r>
    </w:p>
    <w:p w14:paraId="245DA334" w14:textId="56181D46" w:rsidR="00E015F8" w:rsidRDefault="00E015F8" w:rsidP="00E015F8">
      <w:pPr>
        <w:rPr>
          <w:rFonts w:ascii="Arial" w:hAnsi="Arial" w:cs="Arial"/>
          <w:sz w:val="24"/>
          <w:szCs w:val="24"/>
        </w:rPr>
      </w:pPr>
      <w:r w:rsidRPr="00E015F8">
        <w:rPr>
          <w:rFonts w:ascii="Arial" w:hAnsi="Arial" w:cs="Arial"/>
          <w:sz w:val="24"/>
          <w:szCs w:val="24"/>
        </w:rPr>
        <w:t xml:space="preserve"> </w:t>
      </w:r>
      <w:r w:rsidR="00B070EE" w:rsidRPr="00B070EE">
        <w:rPr>
          <w:rFonts w:ascii="Arial" w:hAnsi="Arial" w:cs="Arial"/>
          <w:sz w:val="24"/>
          <w:szCs w:val="24"/>
        </w:rPr>
        <w:t>Artikel ini menekankan perlunya kerjasama antara berbagai kelompok agama dan kepercayaan dalam melawan hoax. MIAH melakukan pendekatan dengan berbagai lembaga agama dan masyarakat untuk menyadarkan masyarakat tentang bahaya hoax, mencerminkan kerjasama antar-pemeluk agama dan kepercayaan yang berbeda.</w:t>
      </w:r>
    </w:p>
    <w:p w14:paraId="725ACE2B" w14:textId="77777777" w:rsidR="00B070EE" w:rsidRPr="00E015F8" w:rsidRDefault="00B070EE" w:rsidP="00E015F8">
      <w:pPr>
        <w:rPr>
          <w:rFonts w:ascii="Arial" w:hAnsi="Arial" w:cs="Arial"/>
          <w:sz w:val="24"/>
          <w:szCs w:val="24"/>
        </w:rPr>
      </w:pPr>
    </w:p>
    <w:p w14:paraId="4F0ABE8B" w14:textId="03215FA5" w:rsidR="00E015F8" w:rsidRDefault="00E015F8" w:rsidP="00E015F8">
      <w:pPr>
        <w:rPr>
          <w:rFonts w:ascii="Arial" w:hAnsi="Arial" w:cs="Arial"/>
          <w:sz w:val="24"/>
          <w:szCs w:val="24"/>
        </w:rPr>
      </w:pPr>
      <w:r>
        <w:rPr>
          <w:rFonts w:ascii="Arial" w:hAnsi="Arial" w:cs="Arial"/>
          <w:sz w:val="24"/>
          <w:szCs w:val="24"/>
        </w:rPr>
        <w:t xml:space="preserve">Sila </w:t>
      </w:r>
      <w:r w:rsidRPr="00E015F8">
        <w:rPr>
          <w:rFonts w:ascii="Arial" w:hAnsi="Arial" w:cs="Arial"/>
          <w:sz w:val="24"/>
          <w:szCs w:val="24"/>
        </w:rPr>
        <w:t>kedua:</w:t>
      </w:r>
      <w:r>
        <w:rPr>
          <w:rFonts w:ascii="Arial" w:hAnsi="Arial" w:cs="Arial"/>
          <w:sz w:val="24"/>
          <w:szCs w:val="24"/>
        </w:rPr>
        <w:t xml:space="preserve"> </w:t>
      </w:r>
      <w:r w:rsidRPr="00E015F8">
        <w:rPr>
          <w:rFonts w:ascii="Arial" w:hAnsi="Arial" w:cs="Arial"/>
          <w:sz w:val="24"/>
          <w:szCs w:val="24"/>
        </w:rPr>
        <w:t>Kemanusiaan yang adil dan beradab</w:t>
      </w:r>
    </w:p>
    <w:p w14:paraId="0B29686B" w14:textId="30D05C9C" w:rsidR="000C501C" w:rsidRPr="00E015F8" w:rsidRDefault="000C501C" w:rsidP="00E015F8">
      <w:pPr>
        <w:rPr>
          <w:rFonts w:ascii="Arial" w:hAnsi="Arial" w:cs="Arial"/>
          <w:sz w:val="24"/>
          <w:szCs w:val="24"/>
        </w:rPr>
      </w:pPr>
      <w:r>
        <w:rPr>
          <w:rFonts w:ascii="Arial" w:hAnsi="Arial" w:cs="Arial"/>
          <w:sz w:val="24"/>
          <w:szCs w:val="24"/>
        </w:rPr>
        <w:t>Butir Pertama: M</w:t>
      </w:r>
      <w:r w:rsidRPr="000C501C">
        <w:rPr>
          <w:rFonts w:ascii="Arial" w:hAnsi="Arial" w:cs="Arial"/>
          <w:sz w:val="24"/>
          <w:szCs w:val="24"/>
        </w:rPr>
        <w:t>engakui dan memperlakukan manusia sesuai dengan harkat dan martabatnya sebagai makhluk Tuhan yang Maha Esa.</w:t>
      </w:r>
    </w:p>
    <w:p w14:paraId="6917D6A1" w14:textId="26A4BBB7" w:rsidR="00E015F8" w:rsidRDefault="00E015F8" w:rsidP="00E015F8">
      <w:pPr>
        <w:rPr>
          <w:rFonts w:ascii="Arial" w:hAnsi="Arial" w:cs="Arial"/>
          <w:sz w:val="24"/>
          <w:szCs w:val="24"/>
        </w:rPr>
      </w:pPr>
      <w:r w:rsidRPr="00E015F8">
        <w:rPr>
          <w:rFonts w:ascii="Arial" w:hAnsi="Arial" w:cs="Arial"/>
          <w:sz w:val="24"/>
          <w:szCs w:val="24"/>
        </w:rPr>
        <w:t xml:space="preserve"> Artikel </w:t>
      </w:r>
      <w:r w:rsidR="000C501C">
        <w:rPr>
          <w:rFonts w:ascii="Arial" w:hAnsi="Arial" w:cs="Arial"/>
          <w:sz w:val="24"/>
          <w:szCs w:val="24"/>
        </w:rPr>
        <w:t xml:space="preserve">ini </w:t>
      </w:r>
      <w:r w:rsidR="00374228">
        <w:rPr>
          <w:rFonts w:ascii="Arial" w:hAnsi="Arial" w:cs="Arial"/>
          <w:sz w:val="24"/>
          <w:szCs w:val="24"/>
        </w:rPr>
        <w:t xml:space="preserve">menunjukkan kepedulian </w:t>
      </w:r>
      <w:r w:rsidR="000C501C">
        <w:rPr>
          <w:rFonts w:ascii="Arial" w:hAnsi="Arial" w:cs="Arial"/>
          <w:sz w:val="24"/>
          <w:szCs w:val="24"/>
        </w:rPr>
        <w:t>terhadap kemanusiaan yang adil dan beradab</w:t>
      </w:r>
      <w:r w:rsidR="00374228">
        <w:rPr>
          <w:rFonts w:ascii="Arial" w:hAnsi="Arial" w:cs="Arial"/>
          <w:sz w:val="24"/>
          <w:szCs w:val="24"/>
        </w:rPr>
        <w:t xml:space="preserve"> </w:t>
      </w:r>
      <w:r w:rsidR="000C501C">
        <w:rPr>
          <w:rFonts w:ascii="Arial" w:hAnsi="Arial" w:cs="Arial"/>
          <w:sz w:val="24"/>
          <w:szCs w:val="24"/>
        </w:rPr>
        <w:t xml:space="preserve">dengan </w:t>
      </w:r>
      <w:r w:rsidR="00374228">
        <w:rPr>
          <w:rFonts w:ascii="Arial" w:hAnsi="Arial" w:cs="Arial"/>
          <w:sz w:val="24"/>
          <w:szCs w:val="24"/>
        </w:rPr>
        <w:t>menunjukkan bagaimana hoax dapat menyebabkan perpecahan dan ketidakharmonisan dalam masyarakat</w:t>
      </w:r>
    </w:p>
    <w:p w14:paraId="2081F38C" w14:textId="77777777" w:rsidR="00E015F8" w:rsidRDefault="00E015F8" w:rsidP="00E015F8">
      <w:pPr>
        <w:rPr>
          <w:rFonts w:ascii="Arial" w:hAnsi="Arial" w:cs="Arial"/>
          <w:sz w:val="24"/>
          <w:szCs w:val="24"/>
        </w:rPr>
      </w:pPr>
    </w:p>
    <w:p w14:paraId="5FD68C35" w14:textId="0AD6FAC7" w:rsidR="00E015F8" w:rsidRDefault="00E015F8" w:rsidP="00E015F8">
      <w:pPr>
        <w:rPr>
          <w:rFonts w:ascii="Arial" w:hAnsi="Arial" w:cs="Arial"/>
          <w:sz w:val="24"/>
          <w:szCs w:val="24"/>
        </w:rPr>
      </w:pPr>
      <w:r>
        <w:rPr>
          <w:rFonts w:ascii="Arial" w:hAnsi="Arial" w:cs="Arial"/>
          <w:sz w:val="24"/>
          <w:szCs w:val="24"/>
        </w:rPr>
        <w:t xml:space="preserve">Sila </w:t>
      </w:r>
      <w:r w:rsidRPr="00E015F8">
        <w:rPr>
          <w:rFonts w:ascii="Arial" w:hAnsi="Arial" w:cs="Arial"/>
          <w:sz w:val="24"/>
          <w:szCs w:val="24"/>
        </w:rPr>
        <w:t>ketiga:</w:t>
      </w:r>
      <w:r>
        <w:rPr>
          <w:rFonts w:ascii="Arial" w:hAnsi="Arial" w:cs="Arial"/>
          <w:sz w:val="24"/>
          <w:szCs w:val="24"/>
        </w:rPr>
        <w:t xml:space="preserve"> </w:t>
      </w:r>
      <w:r w:rsidRPr="00E015F8">
        <w:rPr>
          <w:rFonts w:ascii="Arial" w:hAnsi="Arial" w:cs="Arial"/>
          <w:sz w:val="24"/>
          <w:szCs w:val="24"/>
        </w:rPr>
        <w:t>Persatuan Indonesia</w:t>
      </w:r>
    </w:p>
    <w:p w14:paraId="08F24748" w14:textId="3D44D240" w:rsidR="00374228" w:rsidRPr="00E015F8" w:rsidRDefault="00374228" w:rsidP="00E015F8">
      <w:pPr>
        <w:rPr>
          <w:rFonts w:ascii="Arial" w:hAnsi="Arial" w:cs="Arial"/>
          <w:sz w:val="24"/>
          <w:szCs w:val="24"/>
        </w:rPr>
      </w:pPr>
      <w:r>
        <w:rPr>
          <w:rFonts w:ascii="Arial" w:hAnsi="Arial" w:cs="Arial"/>
          <w:sz w:val="24"/>
          <w:szCs w:val="24"/>
        </w:rPr>
        <w:t>Butir Pertama: M</w:t>
      </w:r>
      <w:r w:rsidRPr="00374228">
        <w:rPr>
          <w:rFonts w:ascii="Arial" w:hAnsi="Arial" w:cs="Arial"/>
          <w:sz w:val="24"/>
          <w:szCs w:val="24"/>
        </w:rPr>
        <w:t>ampu menempatkan persatuan, kesatuan serta kepentingan dan keselamatan bangsa dan negara sebagai kepentingan bersama di atas kepentingan pribadi dan golongan.</w:t>
      </w:r>
    </w:p>
    <w:p w14:paraId="333168DF" w14:textId="43F15AA9" w:rsidR="00E015F8" w:rsidRDefault="00E015F8" w:rsidP="00E015F8">
      <w:pPr>
        <w:rPr>
          <w:rFonts w:ascii="Arial" w:hAnsi="Arial" w:cs="Arial"/>
          <w:sz w:val="24"/>
          <w:szCs w:val="24"/>
        </w:rPr>
      </w:pPr>
      <w:r w:rsidRPr="00E015F8">
        <w:rPr>
          <w:rFonts w:ascii="Arial" w:hAnsi="Arial" w:cs="Arial"/>
          <w:sz w:val="24"/>
          <w:szCs w:val="24"/>
        </w:rPr>
        <w:t xml:space="preserve"> </w:t>
      </w:r>
      <w:r w:rsidR="000D2D84" w:rsidRPr="000D2D84">
        <w:rPr>
          <w:rFonts w:ascii="Arial" w:hAnsi="Arial" w:cs="Arial"/>
          <w:sz w:val="24"/>
          <w:szCs w:val="24"/>
        </w:rPr>
        <w:t>Artikel ini menyoroti upaya MIAH untuk memelihara persatuan dan kesatuan bangsa Indonesia di tengah ancaman hoax dan perpecahan. Mereka mengajak masyarakat untuk fokus pada kepentingan bersama dan menghindari perpecahan yang dapat membahayakan negara</w:t>
      </w:r>
    </w:p>
    <w:p w14:paraId="51C49F5C" w14:textId="77777777" w:rsidR="007B62CD" w:rsidRPr="00E015F8" w:rsidRDefault="007B62CD" w:rsidP="00E015F8">
      <w:pPr>
        <w:rPr>
          <w:rFonts w:ascii="Arial" w:hAnsi="Arial" w:cs="Arial"/>
          <w:sz w:val="24"/>
          <w:szCs w:val="24"/>
        </w:rPr>
      </w:pPr>
    </w:p>
    <w:p w14:paraId="3AC8F7C5" w14:textId="1D8D949B" w:rsidR="00E015F8" w:rsidRDefault="00E015F8" w:rsidP="00E015F8">
      <w:pPr>
        <w:rPr>
          <w:rFonts w:ascii="Arial" w:hAnsi="Arial" w:cs="Arial"/>
          <w:sz w:val="24"/>
          <w:szCs w:val="24"/>
        </w:rPr>
      </w:pPr>
      <w:r>
        <w:rPr>
          <w:rFonts w:ascii="Arial" w:hAnsi="Arial" w:cs="Arial"/>
          <w:sz w:val="24"/>
          <w:szCs w:val="24"/>
        </w:rPr>
        <w:t xml:space="preserve">Sila </w:t>
      </w:r>
      <w:r w:rsidRPr="00E015F8">
        <w:rPr>
          <w:rFonts w:ascii="Arial" w:hAnsi="Arial" w:cs="Arial"/>
          <w:sz w:val="24"/>
          <w:szCs w:val="24"/>
        </w:rPr>
        <w:t>keempat:</w:t>
      </w:r>
      <w:r>
        <w:rPr>
          <w:rFonts w:ascii="Arial" w:hAnsi="Arial" w:cs="Arial"/>
          <w:sz w:val="24"/>
          <w:szCs w:val="24"/>
        </w:rPr>
        <w:t xml:space="preserve"> </w:t>
      </w:r>
      <w:r w:rsidRPr="00E015F8">
        <w:rPr>
          <w:rFonts w:ascii="Arial" w:hAnsi="Arial" w:cs="Arial"/>
          <w:sz w:val="24"/>
          <w:szCs w:val="24"/>
        </w:rPr>
        <w:t>Kerakyatan yang Dipimpin oleh Hikmat Kebijaksanaan dalam Permusyawaratan/Perwakilan</w:t>
      </w:r>
    </w:p>
    <w:p w14:paraId="44366528" w14:textId="112B7EF2" w:rsidR="00AD45B6" w:rsidRDefault="007B62CD" w:rsidP="00E015F8">
      <w:pPr>
        <w:rPr>
          <w:rFonts w:ascii="Arial" w:hAnsi="Arial" w:cs="Arial"/>
          <w:sz w:val="24"/>
          <w:szCs w:val="24"/>
        </w:rPr>
      </w:pPr>
      <w:r>
        <w:rPr>
          <w:rFonts w:ascii="Arial" w:hAnsi="Arial" w:cs="Arial"/>
          <w:sz w:val="24"/>
          <w:szCs w:val="24"/>
        </w:rPr>
        <w:t xml:space="preserve">Butir Ketiga: </w:t>
      </w:r>
      <w:r w:rsidR="000D2D84">
        <w:rPr>
          <w:rFonts w:ascii="Arial" w:hAnsi="Arial" w:cs="Arial"/>
          <w:sz w:val="24"/>
          <w:szCs w:val="24"/>
        </w:rPr>
        <w:t>M</w:t>
      </w:r>
      <w:r>
        <w:rPr>
          <w:rFonts w:ascii="Arial" w:hAnsi="Arial" w:cs="Arial"/>
          <w:sz w:val="24"/>
          <w:szCs w:val="24"/>
        </w:rPr>
        <w:t>engutamakan musyawarah saat mengambil keputusan untuk kepentingan bersama</w:t>
      </w:r>
    </w:p>
    <w:p w14:paraId="4AD61802" w14:textId="3B028546" w:rsidR="00E015F8" w:rsidRDefault="00E015F8" w:rsidP="00E015F8">
      <w:pPr>
        <w:rPr>
          <w:rFonts w:ascii="Arial" w:hAnsi="Arial" w:cs="Arial"/>
          <w:sz w:val="24"/>
          <w:szCs w:val="24"/>
        </w:rPr>
      </w:pPr>
      <w:r w:rsidRPr="00E015F8">
        <w:rPr>
          <w:rFonts w:ascii="Arial" w:hAnsi="Arial" w:cs="Arial"/>
          <w:sz w:val="24"/>
          <w:szCs w:val="24"/>
        </w:rPr>
        <w:t xml:space="preserve"> </w:t>
      </w:r>
      <w:r w:rsidR="000D2D84" w:rsidRPr="000D2D84">
        <w:rPr>
          <w:rFonts w:ascii="Arial" w:hAnsi="Arial" w:cs="Arial"/>
          <w:sz w:val="24"/>
          <w:szCs w:val="24"/>
        </w:rPr>
        <w:t xml:space="preserve">Dalam upaya melawan hoax, MIAH mengedepankan musyawarah dan konsultasi dengan berbagai pihak. Mereka berusaha mencapai mufakat dalam menangani </w:t>
      </w:r>
      <w:r w:rsidR="000D2D84" w:rsidRPr="000D2D84">
        <w:rPr>
          <w:rFonts w:ascii="Arial" w:hAnsi="Arial" w:cs="Arial"/>
          <w:sz w:val="24"/>
          <w:szCs w:val="24"/>
        </w:rPr>
        <w:lastRenderedPageBreak/>
        <w:t>masalah hoax, mencerminkan nilai musyawarah dalam proses pengambilan keputusan.</w:t>
      </w:r>
    </w:p>
    <w:p w14:paraId="4C04FBD1" w14:textId="77777777" w:rsidR="00E015F8" w:rsidRPr="00E015F8" w:rsidRDefault="00E015F8" w:rsidP="00E015F8">
      <w:pPr>
        <w:rPr>
          <w:rFonts w:ascii="Arial" w:hAnsi="Arial" w:cs="Arial"/>
          <w:sz w:val="24"/>
          <w:szCs w:val="24"/>
        </w:rPr>
      </w:pPr>
    </w:p>
    <w:p w14:paraId="47F10B3F" w14:textId="31C1383A" w:rsidR="00AD45B6" w:rsidRDefault="00E015F8" w:rsidP="00E015F8">
      <w:pPr>
        <w:rPr>
          <w:rFonts w:ascii="Arial" w:hAnsi="Arial" w:cs="Arial"/>
          <w:sz w:val="24"/>
          <w:szCs w:val="24"/>
        </w:rPr>
      </w:pPr>
      <w:r>
        <w:rPr>
          <w:rFonts w:ascii="Arial" w:hAnsi="Arial" w:cs="Arial"/>
          <w:sz w:val="24"/>
          <w:szCs w:val="24"/>
        </w:rPr>
        <w:t xml:space="preserve">Sila </w:t>
      </w:r>
      <w:r w:rsidRPr="00E015F8">
        <w:rPr>
          <w:rFonts w:ascii="Arial" w:hAnsi="Arial" w:cs="Arial"/>
          <w:sz w:val="24"/>
          <w:szCs w:val="24"/>
        </w:rPr>
        <w:t>kelima:</w:t>
      </w:r>
      <w:r>
        <w:rPr>
          <w:rFonts w:ascii="Arial" w:hAnsi="Arial" w:cs="Arial"/>
          <w:sz w:val="24"/>
          <w:szCs w:val="24"/>
        </w:rPr>
        <w:t xml:space="preserve"> </w:t>
      </w:r>
      <w:r w:rsidRPr="00E015F8">
        <w:rPr>
          <w:rFonts w:ascii="Arial" w:hAnsi="Arial" w:cs="Arial"/>
          <w:sz w:val="24"/>
          <w:szCs w:val="24"/>
        </w:rPr>
        <w:t xml:space="preserve">Keadilan </w:t>
      </w:r>
      <w:r>
        <w:rPr>
          <w:rFonts w:ascii="Arial" w:hAnsi="Arial" w:cs="Arial"/>
          <w:sz w:val="24"/>
          <w:szCs w:val="24"/>
        </w:rPr>
        <w:t>S</w:t>
      </w:r>
      <w:r w:rsidRPr="00E015F8">
        <w:rPr>
          <w:rFonts w:ascii="Arial" w:hAnsi="Arial" w:cs="Arial"/>
          <w:sz w:val="24"/>
          <w:szCs w:val="24"/>
        </w:rPr>
        <w:t xml:space="preserve">osial </w:t>
      </w:r>
      <w:r>
        <w:rPr>
          <w:rFonts w:ascii="Arial" w:hAnsi="Arial" w:cs="Arial"/>
          <w:sz w:val="24"/>
          <w:szCs w:val="24"/>
        </w:rPr>
        <w:t>b</w:t>
      </w:r>
      <w:r w:rsidRPr="00E015F8">
        <w:rPr>
          <w:rFonts w:ascii="Arial" w:hAnsi="Arial" w:cs="Arial"/>
          <w:sz w:val="24"/>
          <w:szCs w:val="24"/>
        </w:rPr>
        <w:t xml:space="preserve">agi </w:t>
      </w:r>
      <w:r>
        <w:rPr>
          <w:rFonts w:ascii="Arial" w:hAnsi="Arial" w:cs="Arial"/>
          <w:sz w:val="24"/>
          <w:szCs w:val="24"/>
        </w:rPr>
        <w:t>S</w:t>
      </w:r>
      <w:r w:rsidRPr="00E015F8">
        <w:rPr>
          <w:rFonts w:ascii="Arial" w:hAnsi="Arial" w:cs="Arial"/>
          <w:sz w:val="24"/>
          <w:szCs w:val="24"/>
        </w:rPr>
        <w:t xml:space="preserve">eluruh </w:t>
      </w:r>
      <w:r>
        <w:rPr>
          <w:rFonts w:ascii="Arial" w:hAnsi="Arial" w:cs="Arial"/>
          <w:sz w:val="24"/>
          <w:szCs w:val="24"/>
        </w:rPr>
        <w:t>R</w:t>
      </w:r>
      <w:r w:rsidRPr="00E015F8">
        <w:rPr>
          <w:rFonts w:ascii="Arial" w:hAnsi="Arial" w:cs="Arial"/>
          <w:sz w:val="24"/>
          <w:szCs w:val="24"/>
        </w:rPr>
        <w:t>akyat Indonesia</w:t>
      </w:r>
    </w:p>
    <w:p w14:paraId="1F0B2A2E" w14:textId="34F927AB" w:rsidR="000D2D84" w:rsidRPr="00E015F8" w:rsidRDefault="000D2D84" w:rsidP="00E015F8">
      <w:pPr>
        <w:rPr>
          <w:rFonts w:ascii="Arial" w:hAnsi="Arial" w:cs="Arial"/>
          <w:sz w:val="24"/>
          <w:szCs w:val="24"/>
        </w:rPr>
      </w:pPr>
      <w:r>
        <w:rPr>
          <w:rFonts w:ascii="Arial" w:hAnsi="Arial" w:cs="Arial"/>
          <w:sz w:val="24"/>
          <w:szCs w:val="24"/>
        </w:rPr>
        <w:t>Butir Pertama: M</w:t>
      </w:r>
      <w:r w:rsidRPr="000D2D84">
        <w:rPr>
          <w:rFonts w:ascii="Arial" w:hAnsi="Arial" w:cs="Arial"/>
          <w:sz w:val="24"/>
          <w:szCs w:val="24"/>
        </w:rPr>
        <w:t>engembangkan perbuatan yang luhur, yang mencerminkan sikap dan suasana kekeluargaan dan kegotongroyongan.</w:t>
      </w:r>
    </w:p>
    <w:p w14:paraId="0AD6EAC1" w14:textId="55251C4B" w:rsidR="00C278EB" w:rsidRDefault="00E015F8" w:rsidP="00E015F8">
      <w:pPr>
        <w:rPr>
          <w:rFonts w:ascii="Arial" w:hAnsi="Arial" w:cs="Arial"/>
          <w:sz w:val="24"/>
          <w:szCs w:val="24"/>
        </w:rPr>
      </w:pPr>
      <w:r w:rsidRPr="00E015F8">
        <w:rPr>
          <w:rFonts w:ascii="Arial" w:hAnsi="Arial" w:cs="Arial"/>
          <w:sz w:val="24"/>
          <w:szCs w:val="24"/>
        </w:rPr>
        <w:t xml:space="preserve"> </w:t>
      </w:r>
      <w:r w:rsidR="000D2D84" w:rsidRPr="000D2D84">
        <w:rPr>
          <w:rFonts w:ascii="Arial" w:hAnsi="Arial" w:cs="Arial"/>
          <w:sz w:val="24"/>
          <w:szCs w:val="24"/>
        </w:rPr>
        <w:t xml:space="preserve">Kampanye </w:t>
      </w:r>
      <w:r w:rsidR="000D2D84">
        <w:rPr>
          <w:rFonts w:ascii="Arial" w:hAnsi="Arial" w:cs="Arial"/>
          <w:sz w:val="24"/>
          <w:szCs w:val="24"/>
        </w:rPr>
        <w:t>A</w:t>
      </w:r>
      <w:r w:rsidR="000D2D84" w:rsidRPr="000D2D84">
        <w:rPr>
          <w:rFonts w:ascii="Arial" w:hAnsi="Arial" w:cs="Arial"/>
          <w:sz w:val="24"/>
          <w:szCs w:val="24"/>
        </w:rPr>
        <w:t>nti</w:t>
      </w:r>
      <w:r w:rsidR="000D2D84">
        <w:rPr>
          <w:rFonts w:ascii="Arial" w:hAnsi="Arial" w:cs="Arial"/>
          <w:sz w:val="24"/>
          <w:szCs w:val="24"/>
        </w:rPr>
        <w:t>H</w:t>
      </w:r>
      <w:r w:rsidR="000D2D84" w:rsidRPr="000D2D84">
        <w:rPr>
          <w:rFonts w:ascii="Arial" w:hAnsi="Arial" w:cs="Arial"/>
          <w:sz w:val="24"/>
          <w:szCs w:val="24"/>
        </w:rPr>
        <w:t>oax MIAH dapat dianggap sebagai usaha untuk menciptakan suasana kekeluargaan dan gotong royong dalam melawan hoax. Ini mencerminkan semangat persatuan dan kerjasama dalam masyarakat.</w:t>
      </w:r>
    </w:p>
    <w:p w14:paraId="09D46C65" w14:textId="77777777" w:rsidR="00F52DD7" w:rsidRDefault="00F52DD7" w:rsidP="00E015F8">
      <w:pPr>
        <w:rPr>
          <w:rFonts w:ascii="Arial" w:hAnsi="Arial" w:cs="Arial"/>
          <w:sz w:val="24"/>
          <w:szCs w:val="24"/>
        </w:rPr>
      </w:pPr>
    </w:p>
    <w:p w14:paraId="34E633E4" w14:textId="1EE24A70" w:rsidR="00F52DD7" w:rsidRPr="00E015F8" w:rsidRDefault="00F52DD7" w:rsidP="00E015F8">
      <w:pPr>
        <w:rPr>
          <w:rFonts w:ascii="Arial" w:hAnsi="Arial" w:cs="Arial"/>
          <w:sz w:val="24"/>
          <w:szCs w:val="24"/>
        </w:rPr>
      </w:pPr>
      <w:r w:rsidRPr="00F52DD7">
        <w:rPr>
          <w:rFonts w:ascii="Arial" w:hAnsi="Arial" w:cs="Arial"/>
          <w:sz w:val="24"/>
          <w:szCs w:val="24"/>
        </w:rPr>
        <w:t>Dalam keseluruhan, artikel ini mencerminkan upaya MIAH untuk menjaga nilai-nilai Pancasila, terutama dalam konteks menghadapi hoax dan perpecahan di masyarakat Indonesia. Mereka berusaha menjaga kepercayaan kepada Tuhan, memelihara persatuan, dan mengutamakan musyawarah dalam mengatasi masalah yang dihadapi bangsa Indonesia.</w:t>
      </w:r>
      <w:r w:rsidR="00C20D0B">
        <w:rPr>
          <w:rFonts w:ascii="Arial" w:hAnsi="Arial" w:cs="Arial"/>
          <w:sz w:val="24"/>
          <w:szCs w:val="24"/>
        </w:rPr>
        <w:t xml:space="preserve"> </w:t>
      </w:r>
    </w:p>
    <w:sectPr w:rsidR="00F52DD7" w:rsidRPr="00E0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86F3F"/>
    <w:multiLevelType w:val="multilevel"/>
    <w:tmpl w:val="0604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82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F8"/>
    <w:rsid w:val="000C501C"/>
    <w:rsid w:val="000D2D84"/>
    <w:rsid w:val="00325AEF"/>
    <w:rsid w:val="00351093"/>
    <w:rsid w:val="00374228"/>
    <w:rsid w:val="003A6638"/>
    <w:rsid w:val="005F1041"/>
    <w:rsid w:val="007B62CD"/>
    <w:rsid w:val="00A624F3"/>
    <w:rsid w:val="00AD45B6"/>
    <w:rsid w:val="00B070EE"/>
    <w:rsid w:val="00B4211F"/>
    <w:rsid w:val="00B51896"/>
    <w:rsid w:val="00C1069D"/>
    <w:rsid w:val="00C20D0B"/>
    <w:rsid w:val="00C278EB"/>
    <w:rsid w:val="00E015F8"/>
    <w:rsid w:val="00F52D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05A8"/>
  <w15:chartTrackingRefBased/>
  <w15:docId w15:val="{46E81573-6C65-4429-A01B-B25ACBC1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5F8"/>
    <w:rPr>
      <w:color w:val="0563C1" w:themeColor="hyperlink"/>
      <w:u w:val="single"/>
    </w:rPr>
  </w:style>
  <w:style w:type="character" w:styleId="UnresolvedMention">
    <w:name w:val="Unresolved Mention"/>
    <w:basedOn w:val="DefaultParagraphFont"/>
    <w:uiPriority w:val="99"/>
    <w:semiHidden/>
    <w:unhideWhenUsed/>
    <w:rsid w:val="00E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814484">
      <w:bodyDiv w:val="1"/>
      <w:marLeft w:val="0"/>
      <w:marRight w:val="0"/>
      <w:marTop w:val="0"/>
      <w:marBottom w:val="0"/>
      <w:divBdr>
        <w:top w:val="none" w:sz="0" w:space="0" w:color="auto"/>
        <w:left w:val="none" w:sz="0" w:space="0" w:color="auto"/>
        <w:bottom w:val="none" w:sz="0" w:space="0" w:color="auto"/>
        <w:right w:val="none" w:sz="0" w:space="0" w:color="auto"/>
      </w:divBdr>
    </w:div>
    <w:div w:id="16599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ominfo.go.id/content/detail/9057/miah-jangan-gunakan-medsos-untuk-memecah-belah/0/sorotan_med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67CF0-DB3A-4C34-9E95-6345A80D1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Tionusa Catur Pamungkas</dc:creator>
  <cp:keywords/>
  <dc:description/>
  <cp:lastModifiedBy>Tionusa Catur Pamungkas</cp:lastModifiedBy>
  <cp:revision>13</cp:revision>
  <dcterms:created xsi:type="dcterms:W3CDTF">2023-09-11T04:42:00Z</dcterms:created>
  <dcterms:modified xsi:type="dcterms:W3CDTF">2023-09-12T02:31:00Z</dcterms:modified>
</cp:coreProperties>
</file>