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Arial" w:hAnsi="Arial"/>
          <w:b/>
          <w:color w:val="1A3A5C"/>
          <w:sz w:val="56"/>
        </w:rPr>
        <w:t>SIGNALSTACK</w:t>
      </w:r>
    </w:p>
    <w:p>
      <w:pPr>
        <w:spacing w:after="40"/>
      </w:pPr>
      <w:r>
        <w:rPr>
          <w:rFonts w:ascii="Arial" w:hAnsi="Arial"/>
          <w:color w:val="3D8EB9"/>
          <w:sz w:val="28"/>
        </w:rPr>
        <w:t>Business Intelligence Forecast Report</w:t>
      </w:r>
    </w:p>
    <w:p>
      <w:pPr>
        <w:spacing w:after="400"/>
      </w:pPr>
      <w:r>
        <w:rPr>
          <w:rFonts w:ascii="Arial" w:hAnsi="Arial"/>
          <w:color w:val="888888"/>
          <w:sz w:val="18"/>
        </w:rPr>
        <w:t>Generated: March 29, 2026  |  Week: 2026-W13  |  True North Data Strategies</w:t>
      </w:r>
    </w:p>
    <w:p>
      <w:pPr>
        <w:spacing w:before="40" w:after="160"/>
        <w:pBdr>
          <w:bottom w:val="single" w:sz="6" w:space="1" w:color="1A3A5C"/>
        </w:pBdr>
      </w:pPr>
    </w:p>
    <w:p>
      <w:pPr>
        <w:pStyle w:val="Heading1"/>
      </w:pPr>
      <w:r>
        <w:rPr>
          <w:b/>
          <w:color w:val="1A3A5C"/>
          <w:sz w:val="32"/>
        </w:rPr>
        <w:t>Executive Summary</w:t>
      </w:r>
    </w:p>
    <w:p>
      <w:pPr>
        <w:spacing w:after="200"/>
      </w:pPr>
      <w:r>
        <w:rPr>
          <w:b w:val="0"/>
          <w:i w:val="0"/>
          <w:color w:val="000000"/>
          <w:sz w:val="21"/>
        </w:rPr>
        <w:t>This report summarizes the latest SignalStack forecasting results across all active business signals. Each model was trained on historical data and validated against a held-out period before generating forward projections. Use MAPE as the primary accuracy indicator — under 10% is considered strong for small-business operational data.</w:t>
      </w:r>
    </w:p>
    <w:tbl>
      <w:tblPr>
        <w:tblStyle w:val="TableGrid"/>
        <w:tblW w:type="auto" w:w="0"/>
        <w:jc w:val="center"/>
        <w:tblLook w:firstColumn="1" w:firstRow="1" w:lastColumn="0" w:lastRow="0" w:noHBand="0" w:noVBand="1" w:val="04A0"/>
      </w:tblPr>
      <w:tblGrid>
        <w:gridCol w:w="2948"/>
        <w:gridCol w:w="2948"/>
        <w:gridCol w:w="2948"/>
        <w:gridCol w:w="2948"/>
        <w:gridCol w:w="2948"/>
      </w:tblGrid>
      <w:tr>
        <w:tc>
          <w:tcPr>
            <w:tcW w:type="dxa" w:w="2800"/>
            <w:shd w:val="clear" w:color="auto" w:fill="1A3A5C"/>
          </w:tcPr>
          <w:p>
            <w:pPr>
              <w:jc w:val="center"/>
            </w:pPr>
            <w:r>
              <w:rPr>
                <w:b/>
                <w:color w:val="FFFFFF"/>
                <w:sz w:val="18"/>
              </w:rPr>
              <w:t>Signal</w:t>
            </w:r>
          </w:p>
        </w:tc>
        <w:tc>
          <w:tcPr>
            <w:tcW w:type="dxa" w:w="1600"/>
            <w:shd w:val="clear" w:color="auto" w:fill="1A3A5C"/>
          </w:tcPr>
          <w:p>
            <w:pPr>
              <w:jc w:val="center"/>
            </w:pPr>
            <w:r>
              <w:rPr>
                <w:b/>
                <w:color w:val="FFFFFF"/>
                <w:sz w:val="18"/>
              </w:rPr>
              <w:t>Model</w:t>
            </w:r>
          </w:p>
        </w:tc>
        <w:tc>
          <w:tcPr>
            <w:tcW w:type="dxa" w:w="1400"/>
            <w:shd w:val="clear" w:color="auto" w:fill="1A3A5C"/>
          </w:tcPr>
          <w:p>
            <w:pPr>
              <w:jc w:val="center"/>
            </w:pPr>
            <w:r>
              <w:rPr>
                <w:b/>
                <w:color w:val="FFFFFF"/>
                <w:sz w:val="18"/>
              </w:rPr>
              <w:t>MAPE</w:t>
            </w:r>
          </w:p>
        </w:tc>
        <w:tc>
          <w:tcPr>
            <w:tcW w:type="dxa" w:w="1400"/>
            <w:shd w:val="clear" w:color="auto" w:fill="1A3A5C"/>
          </w:tcPr>
          <w:p>
            <w:pPr>
              <w:jc w:val="center"/>
            </w:pPr>
            <w:r>
              <w:rPr>
                <w:b/>
                <w:color w:val="FFFFFF"/>
                <w:sz w:val="18"/>
              </w:rPr>
              <w:t>MAE</w:t>
            </w:r>
          </w:p>
        </w:tc>
        <w:tc>
          <w:tcPr>
            <w:tcW w:type="dxa" w:w="2200"/>
            <w:shd w:val="clear" w:color="auto" w:fill="1A3A5C"/>
          </w:tcPr>
          <w:p>
            <w:pPr>
              <w:jc w:val="center"/>
            </w:pPr>
            <w:r>
              <w:rPr>
                <w:b/>
                <w:color w:val="FFFFFF"/>
                <w:sz w:val="18"/>
              </w:rPr>
              <w:t>Accuracy Assessment</w:t>
            </w:r>
          </w:p>
        </w:tc>
      </w:tr>
      <w:tr>
        <w:tc>
          <w:tcPr>
            <w:tcW w:type="dxa" w:w="2800"/>
            <w:shd w:val="clear" w:color="auto" w:fill="F0F6FA"/>
          </w:tcPr>
          <w:p>
            <w:pPr>
              <w:jc w:val="left"/>
            </w:pPr>
            <w:r>
              <w:rPr>
                <w:b/>
                <w:color w:val="000000"/>
                <w:sz w:val="18"/>
              </w:rPr>
              <w:t>Daily Sales Revenue</w:t>
            </w:r>
          </w:p>
        </w:tc>
        <w:tc>
          <w:tcPr>
            <w:tcW w:type="dxa" w:w="1600"/>
          </w:tcPr>
          <w:p>
            <w:pPr>
              <w:jc w:val="center"/>
            </w:pPr>
            <w:r>
              <w:rPr>
                <w:b w:val="0"/>
                <w:color w:val="000000"/>
                <w:sz w:val="17"/>
              </w:rPr>
              <w:t>(1, 1, 1)x(2, 0, 2, 5)</w:t>
            </w:r>
          </w:p>
        </w:tc>
        <w:tc>
          <w:tcPr>
            <w:tcW w:type="dxa" w:w="1400"/>
          </w:tcPr>
          <w:p>
            <w:pPr>
              <w:jc w:val="center"/>
            </w:pPr>
            <w:r>
              <w:rPr>
                <w:b/>
                <w:color w:val="854F0B"/>
                <w:sz w:val="18"/>
              </w:rPr>
              <w:t>12.6%</w:t>
            </w:r>
          </w:p>
        </w:tc>
        <w:tc>
          <w:tcPr>
            <w:tcW w:type="dxa" w:w="1400"/>
          </w:tcPr>
          <w:p>
            <w:pPr>
              <w:jc w:val="center"/>
            </w:pPr>
            <w:r>
              <w:rPr>
                <w:b w:val="0"/>
                <w:color w:val="000000"/>
                <w:sz w:val="18"/>
              </w:rPr>
              <w:t>$208</w:t>
            </w:r>
          </w:p>
        </w:tc>
        <w:tc>
          <w:tcPr>
            <w:tcW w:type="dxa" w:w="2200"/>
          </w:tcPr>
          <w:p>
            <w:pPr>
              <w:jc w:val="left"/>
            </w:pPr>
            <w:r>
              <w:rPr>
                <w:b w:val="0"/>
                <w:color w:val="854F0B"/>
                <w:sz w:val="18"/>
              </w:rPr>
              <w:t>Moderate</w:t>
            </w:r>
          </w:p>
        </w:tc>
      </w:tr>
      <w:tr>
        <w:tc>
          <w:tcPr>
            <w:tcW w:type="dxa" w:w="2800"/>
            <w:shd w:val="clear" w:color="auto" w:fill="F0F6FA"/>
          </w:tcPr>
          <w:p>
            <w:pPr>
              <w:jc w:val="left"/>
            </w:pPr>
            <w:r>
              <w:rPr>
                <w:b/>
                <w:color w:val="000000"/>
                <w:sz w:val="18"/>
              </w:rPr>
              <w:t>Weekly Jobs Completed</w:t>
            </w:r>
          </w:p>
        </w:tc>
        <w:tc>
          <w:tcPr>
            <w:tcW w:type="dxa" w:w="1600"/>
          </w:tcPr>
          <w:p>
            <w:pPr>
              <w:jc w:val="center"/>
            </w:pPr>
            <w:r>
              <w:rPr>
                <w:b w:val="0"/>
                <w:color w:val="000000"/>
                <w:sz w:val="17"/>
              </w:rPr>
              <w:t>(0, 1, 1)x(0, 0, 0, 4)</w:t>
            </w:r>
          </w:p>
        </w:tc>
        <w:tc>
          <w:tcPr>
            <w:tcW w:type="dxa" w:w="1400"/>
          </w:tcPr>
          <w:p>
            <w:pPr>
              <w:jc w:val="center"/>
            </w:pPr>
            <w:r>
              <w:rPr>
                <w:b/>
                <w:color w:val="3B6D11"/>
                <w:sz w:val="18"/>
              </w:rPr>
              <w:t>2.1%</w:t>
            </w:r>
          </w:p>
        </w:tc>
        <w:tc>
          <w:tcPr>
            <w:tcW w:type="dxa" w:w="1400"/>
          </w:tcPr>
          <w:p>
            <w:pPr>
              <w:jc w:val="center"/>
            </w:pPr>
            <w:r>
              <w:rPr>
                <w:b w:val="0"/>
                <w:color w:val="000000"/>
                <w:sz w:val="18"/>
              </w:rPr>
              <w:t>0.9 jobs</w:t>
            </w:r>
          </w:p>
        </w:tc>
        <w:tc>
          <w:tcPr>
            <w:tcW w:type="dxa" w:w="2200"/>
          </w:tcPr>
          <w:p>
            <w:pPr>
              <w:jc w:val="left"/>
            </w:pPr>
            <w:r>
              <w:rPr>
                <w:b w:val="0"/>
                <w:color w:val="3B6D11"/>
                <w:sz w:val="18"/>
              </w:rPr>
              <w:t>Excellent</w:t>
            </w:r>
          </w:p>
        </w:tc>
      </w:tr>
      <w:tr>
        <w:tc>
          <w:tcPr>
            <w:tcW w:type="dxa" w:w="2800"/>
            <w:shd w:val="clear" w:color="auto" w:fill="F0F6FA"/>
          </w:tcPr>
          <w:p>
            <w:pPr>
              <w:jc w:val="left"/>
            </w:pPr>
            <w:r>
              <w:rPr>
                <w:b/>
                <w:color w:val="000000"/>
                <w:sz w:val="18"/>
              </w:rPr>
              <w:t>Weekly Ending Cash Balance</w:t>
            </w:r>
          </w:p>
        </w:tc>
        <w:tc>
          <w:tcPr>
            <w:tcW w:type="dxa" w:w="1600"/>
          </w:tcPr>
          <w:p>
            <w:pPr>
              <w:jc w:val="center"/>
            </w:pPr>
            <w:r>
              <w:rPr>
                <w:b w:val="0"/>
                <w:color w:val="000000"/>
                <w:sz w:val="17"/>
              </w:rPr>
              <w:t>(2, 1, 0)x(2, 0, 0, 4)</w:t>
            </w:r>
          </w:p>
        </w:tc>
        <w:tc>
          <w:tcPr>
            <w:tcW w:type="dxa" w:w="1400"/>
          </w:tcPr>
          <w:p>
            <w:pPr>
              <w:jc w:val="center"/>
            </w:pPr>
            <w:r>
              <w:rPr>
                <w:b/>
                <w:color w:val="3B6D11"/>
                <w:sz w:val="18"/>
              </w:rPr>
              <w:t>0.6%</w:t>
            </w:r>
          </w:p>
        </w:tc>
        <w:tc>
          <w:tcPr>
            <w:tcW w:type="dxa" w:w="1400"/>
          </w:tcPr>
          <w:p>
            <w:pPr>
              <w:jc w:val="center"/>
            </w:pPr>
            <w:r>
              <w:rPr>
                <w:b w:val="0"/>
                <w:color w:val="000000"/>
                <w:sz w:val="18"/>
              </w:rPr>
              <w:t>$1,829</w:t>
            </w:r>
          </w:p>
        </w:tc>
        <w:tc>
          <w:tcPr>
            <w:tcW w:type="dxa" w:w="2200"/>
          </w:tcPr>
          <w:p>
            <w:pPr>
              <w:jc w:val="left"/>
            </w:pPr>
            <w:r>
              <w:rPr>
                <w:b w:val="0"/>
                <w:color w:val="3B6D11"/>
                <w:sz w:val="18"/>
              </w:rPr>
              <w:t>Excellent</w:t>
            </w:r>
          </w:p>
        </w:tc>
      </w:tr>
      <w:tr>
        <w:tc>
          <w:tcPr>
            <w:tcW w:type="dxa" w:w="2800"/>
            <w:shd w:val="clear" w:color="auto" w:fill="F0F6FA"/>
          </w:tcPr>
          <w:p>
            <w:pPr>
              <w:jc w:val="left"/>
            </w:pPr>
            <w:r>
              <w:rPr>
                <w:b/>
                <w:color w:val="000000"/>
                <w:sz w:val="18"/>
              </w:rPr>
              <w:t>Weekly Pipeline Value</w:t>
            </w:r>
          </w:p>
        </w:tc>
        <w:tc>
          <w:tcPr>
            <w:tcW w:type="dxa" w:w="1600"/>
          </w:tcPr>
          <w:p>
            <w:pPr>
              <w:jc w:val="center"/>
            </w:pPr>
            <w:r>
              <w:rPr>
                <w:b w:val="0"/>
                <w:color w:val="000000"/>
                <w:sz w:val="17"/>
              </w:rPr>
              <w:t>(0, 1, 1)x(0, 0, 0, 4)</w:t>
            </w:r>
          </w:p>
        </w:tc>
        <w:tc>
          <w:tcPr>
            <w:tcW w:type="dxa" w:w="1400"/>
          </w:tcPr>
          <w:p>
            <w:pPr>
              <w:jc w:val="center"/>
            </w:pPr>
            <w:r>
              <w:rPr>
                <w:b/>
                <w:color w:val="854F0B"/>
                <w:sz w:val="18"/>
              </w:rPr>
              <w:t>17.9%</w:t>
            </w:r>
          </w:p>
        </w:tc>
        <w:tc>
          <w:tcPr>
            <w:tcW w:type="dxa" w:w="1400"/>
          </w:tcPr>
          <w:p>
            <w:pPr>
              <w:jc w:val="center"/>
            </w:pPr>
            <w:r>
              <w:rPr>
                <w:b w:val="0"/>
                <w:color w:val="000000"/>
                <w:sz w:val="18"/>
              </w:rPr>
              <w:t>$12,893</w:t>
            </w:r>
          </w:p>
        </w:tc>
        <w:tc>
          <w:tcPr>
            <w:tcW w:type="dxa" w:w="2200"/>
          </w:tcPr>
          <w:p>
            <w:pPr>
              <w:jc w:val="left"/>
            </w:pPr>
            <w:r>
              <w:rPr>
                <w:b w:val="0"/>
                <w:color w:val="854F0B"/>
                <w:sz w:val="18"/>
              </w:rPr>
              <w:t>Moderate</w:t>
            </w:r>
          </w:p>
        </w:tc>
      </w:tr>
      <w:tr>
        <w:tc>
          <w:tcPr>
            <w:tcW w:type="dxa" w:w="2800"/>
            <w:shd w:val="clear" w:color="auto" w:fill="F0F6FA"/>
          </w:tcPr>
          <w:p>
            <w:pPr>
              <w:jc w:val="left"/>
            </w:pPr>
            <w:r>
              <w:rPr>
                <w:b/>
                <w:color w:val="000000"/>
                <w:sz w:val="18"/>
              </w:rPr>
              <w:t>Weekly Billable Hours</w:t>
            </w:r>
          </w:p>
        </w:tc>
        <w:tc>
          <w:tcPr>
            <w:tcW w:type="dxa" w:w="1600"/>
          </w:tcPr>
          <w:p>
            <w:pPr>
              <w:jc w:val="center"/>
            </w:pPr>
            <w:r>
              <w:rPr>
                <w:b w:val="0"/>
                <w:color w:val="000000"/>
                <w:sz w:val="17"/>
              </w:rPr>
              <w:t>(2, 1, 2)x(0, 0, 0, 4)</w:t>
            </w:r>
          </w:p>
        </w:tc>
        <w:tc>
          <w:tcPr>
            <w:tcW w:type="dxa" w:w="1400"/>
          </w:tcPr>
          <w:p>
            <w:pPr>
              <w:jc w:val="center"/>
            </w:pPr>
            <w:r>
              <w:rPr>
                <w:b/>
                <w:color w:val="3B6D11"/>
                <w:sz w:val="18"/>
              </w:rPr>
              <w:t>2.9%</w:t>
            </w:r>
          </w:p>
        </w:tc>
        <w:tc>
          <w:tcPr>
            <w:tcW w:type="dxa" w:w="1400"/>
          </w:tcPr>
          <w:p>
            <w:pPr>
              <w:jc w:val="center"/>
            </w:pPr>
            <w:r>
              <w:rPr>
                <w:b w:val="0"/>
                <w:color w:val="000000"/>
                <w:sz w:val="18"/>
              </w:rPr>
              <w:t>8.2 hrs</w:t>
            </w:r>
          </w:p>
        </w:tc>
        <w:tc>
          <w:tcPr>
            <w:tcW w:type="dxa" w:w="2200"/>
          </w:tcPr>
          <w:p>
            <w:pPr>
              <w:jc w:val="left"/>
            </w:pPr>
            <w:r>
              <w:rPr>
                <w:b w:val="0"/>
                <w:color w:val="3B6D11"/>
                <w:sz w:val="18"/>
              </w:rPr>
              <w:t>Excellent</w:t>
            </w:r>
          </w:p>
        </w:tc>
      </w:tr>
    </w:tbl>
    <w:p/>
    <w:p>
      <w:pPr>
        <w:pStyle w:val="Heading1"/>
      </w:pPr>
      <w:r>
        <w:rPr>
          <w:b/>
          <w:color w:val="1A3A5C"/>
          <w:sz w:val="32"/>
        </w:rPr>
        <w:t>Glossary of Terms</w:t>
      </w:r>
    </w:p>
    <w:p>
      <w:pPr>
        <w:spacing w:before="40" w:after="160"/>
        <w:pBdr>
          <w:bottom w:val="single" w:sz="6" w:space="1" w:color="1A3A5C"/>
        </w:pBdr>
      </w:pPr>
    </w:p>
    <w:p>
      <w:pPr>
        <w:spacing w:after="240"/>
      </w:pPr>
      <w:r>
        <w:rPr>
          <w:b w:val="0"/>
          <w:i w:val="0"/>
          <w:color w:val="555555"/>
          <w:sz w:val="21"/>
        </w:rPr>
        <w:t>Reference definitions for all metrics, model parameters, and technical terms used in this report.</w:t>
      </w:r>
    </w:p>
    <w:p>
      <w:pPr>
        <w:spacing w:before="80" w:after="80"/>
        <w:ind w:left="288"/>
      </w:pPr>
      <w:r>
        <w:rPr>
          <w:b/>
          <w:color w:val="1A3A5C"/>
          <w:sz w:val="20"/>
        </w:rPr>
        <w:t xml:space="preserve">SARIMA  </w:t>
      </w:r>
      <w:r>
        <w:rPr>
          <w:color w:val="000000"/>
          <w:sz w:val="20"/>
        </w:rPr>
        <w:t>Seasonal AutoRegressive Integrated Moving Average — the statistical model used to learn patterns in time series data and project them forward.</w:t>
      </w:r>
    </w:p>
    <w:p>
      <w:pPr>
        <w:spacing w:before="80" w:after="80"/>
        <w:ind w:left="288"/>
      </w:pPr>
      <w:r>
        <w:rPr>
          <w:b/>
          <w:color w:val="1A3A5C"/>
          <w:sz w:val="20"/>
        </w:rPr>
        <w:t xml:space="preserve">AIC  </w:t>
      </w:r>
      <w:r>
        <w:rPr>
          <w:color w:val="000000"/>
          <w:sz w:val="20"/>
        </w:rPr>
        <w:t>Akaike Information Criterion — a model quality score. Lower AIC = better fit. Used to select the best parameter combination during grid search.</w:t>
      </w:r>
    </w:p>
    <w:p>
      <w:pPr>
        <w:spacing w:before="80" w:after="80"/>
        <w:ind w:left="288"/>
      </w:pPr>
      <w:r>
        <w:rPr>
          <w:b/>
          <w:color w:val="1A3A5C"/>
          <w:sz w:val="20"/>
        </w:rPr>
        <w:t xml:space="preserve">MAE (Mean Absolute Error)  </w:t>
      </w:r>
      <w:r>
        <w:rPr>
          <w:color w:val="000000"/>
          <w:sz w:val="20"/>
        </w:rPr>
        <w:t>Average dollar/unit difference between forecast and actual. Easy to interpret: if MAE = $307, the forecast is off by $307 on average.</w:t>
      </w:r>
    </w:p>
    <w:p>
      <w:pPr>
        <w:spacing w:before="80" w:after="80"/>
        <w:ind w:left="288"/>
      </w:pPr>
      <w:r>
        <w:rPr>
          <w:b/>
          <w:color w:val="1A3A5C"/>
          <w:sz w:val="20"/>
        </w:rPr>
        <w:t xml:space="preserve">RMSE (Root Mean Square Error)  </w:t>
      </w:r>
      <w:r>
        <w:rPr>
          <w:color w:val="000000"/>
          <w:sz w:val="20"/>
        </w:rPr>
        <w:t>Similar to MAE but penalizes large misses more heavily. Higher than MAE means there are occasional big misses.</w:t>
      </w:r>
    </w:p>
    <w:p>
      <w:pPr>
        <w:spacing w:before="80" w:after="80"/>
        <w:ind w:left="288"/>
      </w:pPr>
      <w:r>
        <w:rPr>
          <w:b/>
          <w:color w:val="1A3A5C"/>
          <w:sz w:val="20"/>
        </w:rPr>
        <w:t xml:space="preserve">MAPE (%)  </w:t>
      </w:r>
      <w:r>
        <w:rPr>
          <w:color w:val="000000"/>
          <w:sz w:val="20"/>
        </w:rPr>
        <w:t>Mean Absolute Percentage Error — forecast accuracy expressed as a percentage. 5% MAPE means the model is off by 5% on average. Under 10% is considered good for business forecasting.</w:t>
      </w:r>
    </w:p>
    <w:p>
      <w:pPr>
        <w:spacing w:before="80" w:after="80"/>
        <w:ind w:left="288"/>
      </w:pPr>
      <w:r>
        <w:rPr>
          <w:b/>
          <w:color w:val="1A3A5C"/>
          <w:sz w:val="20"/>
        </w:rPr>
        <w:t xml:space="preserve">Confidence Interval (95% CI)  </w:t>
      </w:r>
      <w:r>
        <w:rPr>
          <w:color w:val="000000"/>
          <w:sz w:val="20"/>
        </w:rPr>
        <w:t>The shaded band on forecast charts. There is a 95% probability the actual value will land inside this band. Wider band = more uncertainty.</w:t>
      </w:r>
    </w:p>
    <w:p>
      <w:pPr>
        <w:spacing w:before="80" w:after="80"/>
        <w:ind w:left="288"/>
      </w:pPr>
      <w:r>
        <w:rPr>
          <w:b/>
          <w:color w:val="1A3A5C"/>
          <w:sz w:val="20"/>
        </w:rPr>
        <w:t xml:space="preserve">Training Data  </w:t>
      </w:r>
      <w:r>
        <w:rPr>
          <w:color w:val="000000"/>
          <w:sz w:val="20"/>
        </w:rPr>
        <w:t>The historical period the model learned from (blue line on charts).</w:t>
      </w:r>
    </w:p>
    <w:p>
      <w:pPr>
        <w:spacing w:before="80" w:after="80"/>
        <w:ind w:left="288"/>
      </w:pPr>
      <w:r>
        <w:rPr>
          <w:b/>
          <w:color w:val="1A3A5C"/>
          <w:sz w:val="20"/>
        </w:rPr>
        <w:t xml:space="preserve">Validation Period  </w:t>
      </w:r>
      <w:r>
        <w:rPr>
          <w:color w:val="000000"/>
          <w:sz w:val="20"/>
        </w:rPr>
        <w:t>The held-out period used to test model accuracy before forecasting the future (green line on charts — this is real data the model had not seen).</w:t>
      </w:r>
    </w:p>
    <w:p>
      <w:pPr>
        <w:spacing w:before="80" w:after="80"/>
        <w:ind w:left="288"/>
      </w:pPr>
      <w:r>
        <w:rPr>
          <w:b/>
          <w:color w:val="1A3A5C"/>
          <w:sz w:val="20"/>
        </w:rPr>
        <w:t xml:space="preserve">Forecast  </w:t>
      </w:r>
      <w:r>
        <w:rPr>
          <w:color w:val="000000"/>
          <w:sz w:val="20"/>
        </w:rPr>
        <w:t>The model's projection beyond the validation period (orange line on charts).</w:t>
      </w:r>
    </w:p>
    <w:p>
      <w:pPr>
        <w:spacing w:before="80" w:after="80"/>
        <w:ind w:left="288"/>
      </w:pPr>
      <w:r>
        <w:rPr>
          <w:b/>
          <w:color w:val="1A3A5C"/>
          <w:sz w:val="20"/>
        </w:rPr>
        <w:t xml:space="preserve">Grid Search  </w:t>
      </w:r>
      <w:r>
        <w:rPr>
          <w:color w:val="000000"/>
          <w:sz w:val="20"/>
        </w:rPr>
        <w:t>The automated process of testing all SARIMA parameter combinations and selecting the one with the lowest AIC. Run once; reuse with --skip-search.</w:t>
      </w:r>
    </w:p>
    <w:p>
      <w:pPr>
        <w:spacing w:before="80" w:after="80"/>
        <w:ind w:left="288"/>
      </w:pPr>
      <w:r>
        <w:rPr>
          <w:b/>
          <w:color w:val="1A3A5C"/>
          <w:sz w:val="20"/>
        </w:rPr>
        <w:t xml:space="preserve">ISO Week  </w:t>
      </w:r>
      <w:r>
        <w:rPr>
          <w:color w:val="000000"/>
          <w:sz w:val="20"/>
        </w:rPr>
        <w:t>A standardized week numbering system (e.g., 2025-W14 = the 14th week of 2025, starting Monday). Used for all weekly SignalStack sources.</w:t>
      </w:r>
    </w:p>
    <w:p>
      <w:pPr>
        <w:spacing w:before="80" w:after="80"/>
        <w:ind w:left="288"/>
      </w:pPr>
      <w:r>
        <w:rPr>
          <w:b/>
          <w:color w:val="1A3A5C"/>
          <w:sz w:val="20"/>
        </w:rPr>
        <w:t xml:space="preserve">EWM Smoothing  </w:t>
      </w:r>
      <w:r>
        <w:rPr>
          <w:color w:val="000000"/>
          <w:sz w:val="20"/>
        </w:rPr>
        <w:t>Exponential Weighted Moving Average — applied during preprocessing to reduce day-to-day noise while preserving trend direction.</w:t>
      </w:r>
    </w:p>
    <w:p/>
    <w:p>
      <w:pPr>
        <w:spacing w:before="40" w:after="160"/>
        <w:pBdr>
          <w:bottom w:val="single" w:sz="6" w:space="1" w:color="3D8EB9"/>
        </w:pBdr>
      </w:pPr>
    </w:p>
    <w:p>
      <w:r>
        <w:br w:type="page"/>
      </w:r>
    </w:p>
    <w:p>
      <w:pPr>
        <w:pStyle w:val="Heading1"/>
      </w:pPr>
      <w:r>
        <w:rPr>
          <w:b/>
          <w:color w:val="1A3A5C"/>
          <w:sz w:val="32"/>
        </w:rPr>
        <w:t>Signal Details</w:t>
      </w:r>
    </w:p>
    <w:p>
      <w:pPr>
        <w:pStyle w:val="Heading2"/>
      </w:pPr>
      <w:r>
        <w:rPr>
          <w:b/>
          <w:color w:val="3D8EB9"/>
          <w:sz w:val="26"/>
        </w:rPr>
        <w:t>Daily Sales Revenue</w:t>
      </w:r>
    </w:p>
    <w:p>
      <w:pPr>
        <w:spacing w:before="40" w:after="160"/>
        <w:pBdr>
          <w:bottom w:val="single" w:sz="6" w:space="1" w:color="3D8EB9"/>
        </w:pBdr>
      </w:pPr>
    </w:p>
    <w:tbl>
      <w:tblPr>
        <w:tblStyle w:val="TableGrid"/>
        <w:tblW w:type="auto" w:w="0"/>
        <w:tblLook w:firstColumn="1" w:firstRow="1" w:lastColumn="0" w:lastRow="0" w:noHBand="0" w:noVBand="1" w:val="04A0"/>
      </w:tblPr>
      <w:tblGrid>
        <w:gridCol w:w="3684"/>
        <w:gridCol w:w="3684"/>
        <w:gridCol w:w="3684"/>
        <w:gridCol w:w="3684"/>
      </w:tblGrid>
      <w:tr>
        <w:tc>
          <w:tcPr>
            <w:tcW w:type="dxa" w:w="3600"/>
            <w:shd w:val="clear" w:color="auto" w:fill="1A3A5C"/>
          </w:tcPr>
          <w:p>
            <w:pPr>
              <w:jc w:val="center"/>
            </w:pPr>
            <w:r>
              <w:rPr>
                <w:b/>
                <w:color w:val="FFFFFF"/>
                <w:sz w:val="18"/>
              </w:rPr>
              <w:t>Model</w:t>
            </w:r>
          </w:p>
        </w:tc>
        <w:tc>
          <w:tcPr>
            <w:tcW w:type="dxa" w:w="1872"/>
            <w:shd w:val="clear" w:color="auto" w:fill="1A3A5C"/>
          </w:tcPr>
          <w:p>
            <w:pPr>
              <w:jc w:val="center"/>
            </w:pPr>
            <w:r>
              <w:rPr>
                <w:b/>
                <w:color w:val="FFFFFF"/>
                <w:sz w:val="18"/>
              </w:rPr>
              <w:t>MAPE</w:t>
            </w:r>
          </w:p>
        </w:tc>
        <w:tc>
          <w:tcPr>
            <w:tcW w:type="dxa" w:w="1872"/>
            <w:shd w:val="clear" w:color="auto" w:fill="1A3A5C"/>
          </w:tcPr>
          <w:p>
            <w:pPr>
              <w:jc w:val="center"/>
            </w:pPr>
            <w:r>
              <w:rPr>
                <w:b/>
                <w:color w:val="FFFFFF"/>
                <w:sz w:val="18"/>
              </w:rPr>
              <w:t>MAE</w:t>
            </w:r>
          </w:p>
        </w:tc>
        <w:tc>
          <w:tcPr>
            <w:tcW w:type="dxa" w:w="1872"/>
            <w:shd w:val="clear" w:color="auto" w:fill="1A3A5C"/>
          </w:tcPr>
          <w:p>
            <w:pPr>
              <w:jc w:val="center"/>
            </w:pPr>
            <w:r>
              <w:rPr>
                <w:b/>
                <w:color w:val="FFFFFF"/>
                <w:sz w:val="18"/>
              </w:rPr>
              <w:t>RMSE</w:t>
            </w:r>
          </w:p>
        </w:tc>
      </w:tr>
      <w:tr>
        <w:tc>
          <w:tcPr>
            <w:tcW w:type="dxa" w:w="3600"/>
            <w:shd w:val="clear" w:color="auto" w:fill="F0F6FA"/>
          </w:tcPr>
          <w:p>
            <w:pPr>
              <w:jc w:val="center"/>
            </w:pPr>
            <w:r>
              <w:rPr>
                <w:b w:val="0"/>
                <w:color w:val="000000"/>
                <w:sz w:val="20"/>
              </w:rPr>
              <w:t>SARIMA(1, 1, 1)x(2, 0, 2, 5)</w:t>
            </w:r>
          </w:p>
        </w:tc>
        <w:tc>
          <w:tcPr>
            <w:tcW w:type="dxa" w:w="1872"/>
            <w:shd w:val="clear" w:color="auto" w:fill="F0F6FA"/>
          </w:tcPr>
          <w:p>
            <w:pPr>
              <w:jc w:val="center"/>
            </w:pPr>
            <w:r>
              <w:rPr>
                <w:b/>
                <w:color w:val="854F0B"/>
                <w:sz w:val="20"/>
              </w:rPr>
              <w:t>12.6%</w:t>
            </w:r>
          </w:p>
        </w:tc>
        <w:tc>
          <w:tcPr>
            <w:tcW w:type="dxa" w:w="1872"/>
            <w:shd w:val="clear" w:color="auto" w:fill="F0F6FA"/>
          </w:tcPr>
          <w:p>
            <w:pPr>
              <w:jc w:val="center"/>
            </w:pPr>
            <w:r>
              <w:rPr>
                <w:b w:val="0"/>
                <w:color w:val="000000"/>
                <w:sz w:val="20"/>
              </w:rPr>
              <w:t>$208</w:t>
            </w:r>
          </w:p>
        </w:tc>
        <w:tc>
          <w:tcPr>
            <w:tcW w:type="dxa" w:w="1872"/>
            <w:shd w:val="clear" w:color="auto" w:fill="F0F6FA"/>
          </w:tcPr>
          <w:p>
            <w:pPr>
              <w:jc w:val="center"/>
            </w:pPr>
            <w:r>
              <w:rPr>
                <w:b w:val="0"/>
                <w:color w:val="000000"/>
                <w:sz w:val="20"/>
              </w:rPr>
              <w:t>$251</w:t>
            </w:r>
          </w:p>
        </w:tc>
      </w:tr>
    </w:tbl>
    <w:p/>
    <w:p>
      <w:pPr>
        <w:spacing w:after="160"/>
      </w:pPr>
      <w:r>
        <w:rPr>
          <w:b w:val="0"/>
          <w:i/>
          <w:color w:val="854F0B"/>
          <w:sz w:val="21"/>
        </w:rPr>
        <w:t>Moderate — directionally accurate. Verify against actuals each week.</w:t>
      </w:r>
    </w:p>
    <w:p>
      <w:pPr>
        <w:spacing w:after="120"/>
      </w:pPr>
      <w:r>
        <w:rPr>
          <w:b w:val="0"/>
          <w:i w:val="0"/>
          <w:color w:val="000000"/>
          <w:sz w:val="21"/>
        </w:rPr>
        <w:t>The model applies one differencing pass to remove the underlying trend slope before learning patterns. It looks for repeating cycles every 5 business days, which corresponds to one trading week in this data. Active components: short-term momentum, recent forecast-error correction, seasonal momentum, seasonal error correction.</w:t>
      </w:r>
    </w:p>
    <w:p>
      <w:pPr>
        <w:spacing w:after="120"/>
      </w:pPr>
      <w:r>
        <w:rPr>
          <w:b w:val="0"/>
          <w:i w:val="0"/>
          <w:color w:val="000000"/>
          <w:sz w:val="21"/>
        </w:rPr>
        <w:t>The average forecast error is $208, which represents 12.1% of the observed average ($1,716). RMSE ($251) is close to MAE, meaning errors are consistent in size without large outlier misses. At 12.6% MAPE, the model captures the right direction but individual period values may vary moderately. Cross-validation (3-fold) confirms this at 13.4% +/- 3.0% average MAPE, indicating stable model performance across different time windows.</w:t>
      </w:r>
    </w:p>
    <w:p>
      <w:pPr>
        <w:spacing w:after="120"/>
      </w:pPr>
      <w:r>
        <w:rPr>
          <w:b w:val="0"/>
          <w:i w:val="0"/>
          <w:color w:val="000000"/>
          <w:sz w:val="21"/>
        </w:rPr>
        <w:t>In the forecast chart below for Daily Sales Revenue, the blue line shows the training period the model learned from, the green line shows real validation data the model had not seen (the honest test), and the orange line is the model's forecast. If green tracks orange closely the model is reliable for that horizon; if they diverge significantly, the business shifted in a way the model did not anticipate. The shaded band represents the 95% confidence interval — a wider band signals greater uncertainty.</w:t>
      </w:r>
    </w:p>
    <w:p>
      <w:pPr>
        <w:spacing w:after="160"/>
      </w:pPr>
      <w:r>
        <w:rPr>
          <w:b/>
          <w:color w:val="1A3A5C"/>
          <w:sz w:val="20"/>
        </w:rPr>
        <w:t xml:space="preserve">Decision Guidance: </w:t>
      </w:r>
      <w:r>
        <w:rPr>
          <w:b/>
          <w:color w:val="854F0B"/>
          <w:sz w:val="20"/>
        </w:rPr>
        <w:t>Use for directional awareness, not precise planning. Verify actuals weekly. Flag if actual values diverge from the forecast by more than $208 for two consecutive periods.</w:t>
      </w:r>
    </w:p>
    <w:p>
      <w:pPr>
        <w:jc w:val="center"/>
      </w:pPr>
      <w:r>
        <w:drawing>
          <wp:inline xmlns:a="http://schemas.openxmlformats.org/drawingml/2006/main" xmlns:pic="http://schemas.openxmlformats.org/drawingml/2006/picture">
            <wp:extent cx="5669280" cy="3047238"/>
            <wp:docPr id="1" name="Picture 1"/>
            <wp:cNvGraphicFramePr>
              <a:graphicFrameLocks noChangeAspect="1"/>
            </wp:cNvGraphicFramePr>
            <a:graphic>
              <a:graphicData uri="http://schemas.openxmlformats.org/drawingml/2006/picture">
                <pic:pic>
                  <pic:nvPicPr>
                    <pic:cNvPr id="0" name="04_forecast_vs_actual.png"/>
                    <pic:cNvPicPr/>
                  </pic:nvPicPr>
                  <pic:blipFill>
                    <a:blip r:embed="rId9"/>
                    <a:stretch>
                      <a:fillRect/>
                    </a:stretch>
                  </pic:blipFill>
                  <pic:spPr>
                    <a:xfrm>
                      <a:off x="0" y="0"/>
                      <a:ext cx="5669280" cy="3047238"/>
                    </a:xfrm>
                    <a:prstGeom prst="rect"/>
                  </pic:spPr>
                </pic:pic>
              </a:graphicData>
            </a:graphic>
          </wp:inline>
        </w:drawing>
      </w:r>
    </w:p>
    <w:p>
      <w:pPr>
        <w:spacing w:after="280"/>
        <w:jc w:val="center"/>
      </w:pPr>
      <w:r>
        <w:rPr>
          <w:i/>
          <w:color w:val="888888"/>
          <w:sz w:val="17"/>
        </w:rPr>
        <w:t>Figure: SARIMA Forecast vs Actual — Daily Sales Revenue</w:t>
      </w:r>
    </w:p>
    <w:p/>
    <w:p>
      <w:pPr>
        <w:pStyle w:val="Heading2"/>
      </w:pPr>
      <w:r>
        <w:rPr>
          <w:b/>
          <w:color w:val="3D8EB9"/>
          <w:sz w:val="26"/>
        </w:rPr>
        <w:t>Weekly Jobs Completed</w:t>
      </w:r>
    </w:p>
    <w:p>
      <w:pPr>
        <w:spacing w:before="40" w:after="160"/>
        <w:pBdr>
          <w:bottom w:val="single" w:sz="6" w:space="1" w:color="3D8EB9"/>
        </w:pBdr>
      </w:pPr>
    </w:p>
    <w:tbl>
      <w:tblPr>
        <w:tblStyle w:val="TableGrid"/>
        <w:tblW w:type="auto" w:w="0"/>
        <w:tblLook w:firstColumn="1" w:firstRow="1" w:lastColumn="0" w:lastRow="0" w:noHBand="0" w:noVBand="1" w:val="04A0"/>
      </w:tblPr>
      <w:tblGrid>
        <w:gridCol w:w="3684"/>
        <w:gridCol w:w="3684"/>
        <w:gridCol w:w="3684"/>
        <w:gridCol w:w="3684"/>
      </w:tblGrid>
      <w:tr>
        <w:tc>
          <w:tcPr>
            <w:tcW w:type="dxa" w:w="3600"/>
            <w:shd w:val="clear" w:color="auto" w:fill="1A3A5C"/>
          </w:tcPr>
          <w:p>
            <w:pPr>
              <w:jc w:val="center"/>
            </w:pPr>
            <w:r>
              <w:rPr>
                <w:b/>
                <w:color w:val="FFFFFF"/>
                <w:sz w:val="18"/>
              </w:rPr>
              <w:t>Model</w:t>
            </w:r>
          </w:p>
        </w:tc>
        <w:tc>
          <w:tcPr>
            <w:tcW w:type="dxa" w:w="1872"/>
            <w:shd w:val="clear" w:color="auto" w:fill="1A3A5C"/>
          </w:tcPr>
          <w:p>
            <w:pPr>
              <w:jc w:val="center"/>
            </w:pPr>
            <w:r>
              <w:rPr>
                <w:b/>
                <w:color w:val="FFFFFF"/>
                <w:sz w:val="18"/>
              </w:rPr>
              <w:t>MAPE</w:t>
            </w:r>
          </w:p>
        </w:tc>
        <w:tc>
          <w:tcPr>
            <w:tcW w:type="dxa" w:w="1872"/>
            <w:shd w:val="clear" w:color="auto" w:fill="1A3A5C"/>
          </w:tcPr>
          <w:p>
            <w:pPr>
              <w:jc w:val="center"/>
            </w:pPr>
            <w:r>
              <w:rPr>
                <w:b/>
                <w:color w:val="FFFFFF"/>
                <w:sz w:val="18"/>
              </w:rPr>
              <w:t>MAE</w:t>
            </w:r>
          </w:p>
        </w:tc>
        <w:tc>
          <w:tcPr>
            <w:tcW w:type="dxa" w:w="1872"/>
            <w:shd w:val="clear" w:color="auto" w:fill="1A3A5C"/>
          </w:tcPr>
          <w:p>
            <w:pPr>
              <w:jc w:val="center"/>
            </w:pPr>
            <w:r>
              <w:rPr>
                <w:b/>
                <w:color w:val="FFFFFF"/>
                <w:sz w:val="18"/>
              </w:rPr>
              <w:t>RMSE</w:t>
            </w:r>
          </w:p>
        </w:tc>
      </w:tr>
      <w:tr>
        <w:tc>
          <w:tcPr>
            <w:tcW w:type="dxa" w:w="3600"/>
            <w:shd w:val="clear" w:color="auto" w:fill="F0F6FA"/>
          </w:tcPr>
          <w:p>
            <w:pPr>
              <w:jc w:val="center"/>
            </w:pPr>
            <w:r>
              <w:rPr>
                <w:b w:val="0"/>
                <w:color w:val="000000"/>
                <w:sz w:val="20"/>
              </w:rPr>
              <w:t>SARIMA(0, 1, 1)x(0, 0, 0, 4)</w:t>
            </w:r>
          </w:p>
        </w:tc>
        <w:tc>
          <w:tcPr>
            <w:tcW w:type="dxa" w:w="1872"/>
            <w:shd w:val="clear" w:color="auto" w:fill="F0F6FA"/>
          </w:tcPr>
          <w:p>
            <w:pPr>
              <w:jc w:val="center"/>
            </w:pPr>
            <w:r>
              <w:rPr>
                <w:b/>
                <w:color w:val="3B6D11"/>
                <w:sz w:val="20"/>
              </w:rPr>
              <w:t>2.1%</w:t>
            </w:r>
          </w:p>
        </w:tc>
        <w:tc>
          <w:tcPr>
            <w:tcW w:type="dxa" w:w="1872"/>
            <w:shd w:val="clear" w:color="auto" w:fill="F0F6FA"/>
          </w:tcPr>
          <w:p>
            <w:pPr>
              <w:jc w:val="center"/>
            </w:pPr>
            <w:r>
              <w:rPr>
                <w:b w:val="0"/>
                <w:color w:val="000000"/>
                <w:sz w:val="20"/>
              </w:rPr>
              <w:t>0.9</w:t>
            </w:r>
          </w:p>
        </w:tc>
        <w:tc>
          <w:tcPr>
            <w:tcW w:type="dxa" w:w="1872"/>
            <w:shd w:val="clear" w:color="auto" w:fill="F0F6FA"/>
          </w:tcPr>
          <w:p>
            <w:pPr>
              <w:jc w:val="center"/>
            </w:pPr>
            <w:r>
              <w:rPr>
                <w:b w:val="0"/>
                <w:color w:val="000000"/>
                <w:sz w:val="20"/>
              </w:rPr>
              <w:t>1.1</w:t>
            </w:r>
          </w:p>
        </w:tc>
      </w:tr>
    </w:tbl>
    <w:p/>
    <w:p>
      <w:pPr>
        <w:spacing w:after="160"/>
      </w:pPr>
      <w:r>
        <w:rPr>
          <w:b w:val="0"/>
          <w:i/>
          <w:color w:val="3B6D11"/>
          <w:sz w:val="21"/>
        </w:rPr>
        <w:t>Excellent — high-confidence forecast. Use for operational decisions.</w:t>
      </w:r>
    </w:p>
    <w:p>
      <w:pPr>
        <w:spacing w:after="120"/>
      </w:pPr>
      <w:r>
        <w:rPr>
          <w:b w:val="0"/>
          <w:i w:val="0"/>
          <w:color w:val="000000"/>
          <w:sz w:val="21"/>
        </w:rPr>
        <w:t>The model applies one differencing pass to remove the underlying trend slope before learning patterns. It looks for repeating cycles every 4 weeks, which corresponds to roughly one month in this data. Active components: recent forecast-error correction.</w:t>
      </w:r>
    </w:p>
    <w:p>
      <w:pPr>
        <w:spacing w:after="120"/>
      </w:pPr>
      <w:r>
        <w:rPr>
          <w:b w:val="0"/>
          <w:i w:val="0"/>
          <w:color w:val="000000"/>
          <w:sz w:val="21"/>
        </w:rPr>
        <w:t>The average forecast error is 0.9 jobs, which represents 2.1% of the observed average (42.7 jobs). RMSE (1.1 jobs) is close to MAE, meaning errors are consistent in size without large outlier misses. At 2.1% MAPE, this forecast is highly precise — expect actual values to land very close to projections. Cross-validation (3-fold) confirms this at 3.2% +/- 1.4% average MAPE, indicating stable model performance across different time windows.</w:t>
      </w:r>
    </w:p>
    <w:p>
      <w:pPr>
        <w:spacing w:after="120"/>
      </w:pPr>
      <w:r>
        <w:rPr>
          <w:b w:val="0"/>
          <w:i w:val="0"/>
          <w:color w:val="000000"/>
          <w:sz w:val="21"/>
        </w:rPr>
        <w:t>In the forecast chart below for Weekly Jobs Completed, the blue line shows the training period the model learned from, the green line shows real validation data the model had not seen (the honest test), and the orange line is the model's forecast. If green tracks orange closely the model is reliable for that horizon; if they diverge significantly, the business shifted in a way the model did not anticipate. The shaded band represents the 95% confidence interval — a wider band signals greater uncertainty.</w:t>
      </w:r>
    </w:p>
    <w:p>
      <w:pPr>
        <w:spacing w:after="160"/>
      </w:pPr>
      <w:r>
        <w:rPr>
          <w:b/>
          <w:color w:val="1A3A5C"/>
          <w:sz w:val="20"/>
        </w:rPr>
        <w:t xml:space="preserve">Decision Guidance: </w:t>
      </w:r>
      <w:r>
        <w:rPr>
          <w:b/>
          <w:color w:val="3B6D11"/>
          <w:sz w:val="20"/>
        </w:rPr>
        <w:t>Use this forecast for operational planning. At 2.1% MAPE it is reliable enough to inform staffing, scheduling, and cash decisions directly.</w:t>
      </w:r>
    </w:p>
    <w:p>
      <w:pPr>
        <w:jc w:val="center"/>
      </w:pPr>
      <w:r>
        <w:drawing>
          <wp:inline xmlns:a="http://schemas.openxmlformats.org/drawingml/2006/main" xmlns:pic="http://schemas.openxmlformats.org/drawingml/2006/picture">
            <wp:extent cx="5669280" cy="3100269"/>
            <wp:docPr id="2" name="Picture 2"/>
            <wp:cNvGraphicFramePr>
              <a:graphicFrameLocks noChangeAspect="1"/>
            </wp:cNvGraphicFramePr>
            <a:graphic>
              <a:graphicData uri="http://schemas.openxmlformats.org/drawingml/2006/picture">
                <pic:pic>
                  <pic:nvPicPr>
                    <pic:cNvPr id="0" name="04_forecast_vs_actual.png"/>
                    <pic:cNvPicPr/>
                  </pic:nvPicPr>
                  <pic:blipFill>
                    <a:blip r:embed="rId10"/>
                    <a:stretch>
                      <a:fillRect/>
                    </a:stretch>
                  </pic:blipFill>
                  <pic:spPr>
                    <a:xfrm>
                      <a:off x="0" y="0"/>
                      <a:ext cx="5669280" cy="3100269"/>
                    </a:xfrm>
                    <a:prstGeom prst="rect"/>
                  </pic:spPr>
                </pic:pic>
              </a:graphicData>
            </a:graphic>
          </wp:inline>
        </w:drawing>
      </w:r>
    </w:p>
    <w:p>
      <w:pPr>
        <w:spacing w:after="280"/>
        <w:jc w:val="center"/>
      </w:pPr>
      <w:r>
        <w:rPr>
          <w:i/>
          <w:color w:val="888888"/>
          <w:sz w:val="17"/>
        </w:rPr>
        <w:t>Figure: SARIMA Forecast vs Actual — Weekly Jobs Completed</w:t>
      </w:r>
    </w:p>
    <w:p/>
    <w:p>
      <w:pPr>
        <w:pStyle w:val="Heading2"/>
      </w:pPr>
      <w:r>
        <w:rPr>
          <w:b/>
          <w:color w:val="3D8EB9"/>
          <w:sz w:val="26"/>
        </w:rPr>
        <w:t>Weekly Ending Cash Balance</w:t>
      </w:r>
    </w:p>
    <w:p>
      <w:pPr>
        <w:spacing w:before="40" w:after="160"/>
        <w:pBdr>
          <w:bottom w:val="single" w:sz="6" w:space="1" w:color="3D8EB9"/>
        </w:pBdr>
      </w:pPr>
    </w:p>
    <w:tbl>
      <w:tblPr>
        <w:tblStyle w:val="TableGrid"/>
        <w:tblW w:type="auto" w:w="0"/>
        <w:tblLook w:firstColumn="1" w:firstRow="1" w:lastColumn="0" w:lastRow="0" w:noHBand="0" w:noVBand="1" w:val="04A0"/>
      </w:tblPr>
      <w:tblGrid>
        <w:gridCol w:w="3684"/>
        <w:gridCol w:w="3684"/>
        <w:gridCol w:w="3684"/>
        <w:gridCol w:w="3684"/>
      </w:tblGrid>
      <w:tr>
        <w:tc>
          <w:tcPr>
            <w:tcW w:type="dxa" w:w="3600"/>
            <w:shd w:val="clear" w:color="auto" w:fill="1A3A5C"/>
          </w:tcPr>
          <w:p>
            <w:pPr>
              <w:jc w:val="center"/>
            </w:pPr>
            <w:r>
              <w:rPr>
                <w:b/>
                <w:color w:val="FFFFFF"/>
                <w:sz w:val="18"/>
              </w:rPr>
              <w:t>Model</w:t>
            </w:r>
          </w:p>
        </w:tc>
        <w:tc>
          <w:tcPr>
            <w:tcW w:type="dxa" w:w="1872"/>
            <w:shd w:val="clear" w:color="auto" w:fill="1A3A5C"/>
          </w:tcPr>
          <w:p>
            <w:pPr>
              <w:jc w:val="center"/>
            </w:pPr>
            <w:r>
              <w:rPr>
                <w:b/>
                <w:color w:val="FFFFFF"/>
                <w:sz w:val="18"/>
              </w:rPr>
              <w:t>MAPE</w:t>
            </w:r>
          </w:p>
        </w:tc>
        <w:tc>
          <w:tcPr>
            <w:tcW w:type="dxa" w:w="1872"/>
            <w:shd w:val="clear" w:color="auto" w:fill="1A3A5C"/>
          </w:tcPr>
          <w:p>
            <w:pPr>
              <w:jc w:val="center"/>
            </w:pPr>
            <w:r>
              <w:rPr>
                <w:b/>
                <w:color w:val="FFFFFF"/>
                <w:sz w:val="18"/>
              </w:rPr>
              <w:t>MAE</w:t>
            </w:r>
          </w:p>
        </w:tc>
        <w:tc>
          <w:tcPr>
            <w:tcW w:type="dxa" w:w="1872"/>
            <w:shd w:val="clear" w:color="auto" w:fill="1A3A5C"/>
          </w:tcPr>
          <w:p>
            <w:pPr>
              <w:jc w:val="center"/>
            </w:pPr>
            <w:r>
              <w:rPr>
                <w:b/>
                <w:color w:val="FFFFFF"/>
                <w:sz w:val="18"/>
              </w:rPr>
              <w:t>RMSE</w:t>
            </w:r>
          </w:p>
        </w:tc>
      </w:tr>
      <w:tr>
        <w:tc>
          <w:tcPr>
            <w:tcW w:type="dxa" w:w="3600"/>
            <w:shd w:val="clear" w:color="auto" w:fill="F0F6FA"/>
          </w:tcPr>
          <w:p>
            <w:pPr>
              <w:jc w:val="center"/>
            </w:pPr>
            <w:r>
              <w:rPr>
                <w:b w:val="0"/>
                <w:color w:val="000000"/>
                <w:sz w:val="20"/>
              </w:rPr>
              <w:t>SARIMA(2, 1, 0)x(2, 0, 0, 4)</w:t>
            </w:r>
          </w:p>
        </w:tc>
        <w:tc>
          <w:tcPr>
            <w:tcW w:type="dxa" w:w="1872"/>
            <w:shd w:val="clear" w:color="auto" w:fill="F0F6FA"/>
          </w:tcPr>
          <w:p>
            <w:pPr>
              <w:jc w:val="center"/>
            </w:pPr>
            <w:r>
              <w:rPr>
                <w:b/>
                <w:color w:val="3B6D11"/>
                <w:sz w:val="20"/>
              </w:rPr>
              <w:t>0.6%</w:t>
            </w:r>
          </w:p>
        </w:tc>
        <w:tc>
          <w:tcPr>
            <w:tcW w:type="dxa" w:w="1872"/>
            <w:shd w:val="clear" w:color="auto" w:fill="F0F6FA"/>
          </w:tcPr>
          <w:p>
            <w:pPr>
              <w:jc w:val="center"/>
            </w:pPr>
            <w:r>
              <w:rPr>
                <w:b w:val="0"/>
                <w:color w:val="000000"/>
                <w:sz w:val="20"/>
              </w:rPr>
              <w:t>$1,829</w:t>
            </w:r>
          </w:p>
        </w:tc>
        <w:tc>
          <w:tcPr>
            <w:tcW w:type="dxa" w:w="1872"/>
            <w:shd w:val="clear" w:color="auto" w:fill="F0F6FA"/>
          </w:tcPr>
          <w:p>
            <w:pPr>
              <w:jc w:val="center"/>
            </w:pPr>
            <w:r>
              <w:rPr>
                <w:b w:val="0"/>
                <w:color w:val="000000"/>
                <w:sz w:val="20"/>
              </w:rPr>
              <w:t>$2,218</w:t>
            </w:r>
          </w:p>
        </w:tc>
      </w:tr>
    </w:tbl>
    <w:p/>
    <w:p>
      <w:pPr>
        <w:spacing w:after="160"/>
      </w:pPr>
      <w:r>
        <w:rPr>
          <w:b w:val="0"/>
          <w:i/>
          <w:color w:val="3B6D11"/>
          <w:sz w:val="21"/>
        </w:rPr>
        <w:t>Excellent — high-confidence forecast. Use for operational decisions.</w:t>
      </w:r>
    </w:p>
    <w:p>
      <w:pPr>
        <w:spacing w:after="120"/>
      </w:pPr>
      <w:r>
        <w:rPr>
          <w:b w:val="0"/>
          <w:i w:val="0"/>
          <w:color w:val="000000"/>
          <w:sz w:val="21"/>
        </w:rPr>
        <w:t>The model applies one differencing pass to remove the underlying trend slope before learning patterns. It looks for repeating cycles every 4 weeks, which corresponds to roughly one month in this data. Active components: short-term momentum, seasonal momentum.</w:t>
      </w:r>
    </w:p>
    <w:p>
      <w:pPr>
        <w:spacing w:after="120"/>
      </w:pPr>
      <w:r>
        <w:rPr>
          <w:b w:val="0"/>
          <w:i w:val="0"/>
          <w:color w:val="000000"/>
          <w:sz w:val="21"/>
        </w:rPr>
        <w:t>The average forecast error is $1,829, which represents 0.6% of the observed average ($290,935). RMSE ($2,218) is close to MAE, meaning errors are consistent in size without large outlier misses. At 0.6% MAPE, this forecast is highly precise — expect actual values to land very close to projections. Cross-validation (3-fold) confirms this at 2.9% +/- 1.7% average MAPE, indicating stable model performance across different time windows.</w:t>
      </w:r>
    </w:p>
    <w:p>
      <w:pPr>
        <w:spacing w:after="120"/>
      </w:pPr>
      <w:r>
        <w:rPr>
          <w:b w:val="0"/>
          <w:i w:val="0"/>
          <w:color w:val="000000"/>
          <w:sz w:val="21"/>
        </w:rPr>
        <w:t>In the forecast chart below for Weekly Ending Cash Balance, the blue line shows the training period the model learned from, the green line shows real validation data the model had not seen (the honest test), and the orange line is the model's forecast. If green tracks orange closely the model is reliable for that horizon; if they diverge significantly, the business shifted in a way the model did not anticipate. The shaded band represents the 95% confidence interval — a wider band signals greater uncertainty.</w:t>
      </w:r>
    </w:p>
    <w:p>
      <w:pPr>
        <w:spacing w:after="160"/>
      </w:pPr>
      <w:r>
        <w:rPr>
          <w:b/>
          <w:color w:val="1A3A5C"/>
          <w:sz w:val="20"/>
        </w:rPr>
        <w:t xml:space="preserve">Decision Guidance: </w:t>
      </w:r>
      <w:r>
        <w:rPr>
          <w:b/>
          <w:color w:val="3B6D11"/>
          <w:sz w:val="20"/>
        </w:rPr>
        <w:t>Use this forecast for operational planning. At 0.6% MAPE it is reliable enough to inform staffing, scheduling, and cash decisions directly.</w:t>
      </w:r>
    </w:p>
    <w:p>
      <w:pPr>
        <w:jc w:val="center"/>
      </w:pPr>
      <w:r>
        <w:drawing>
          <wp:inline xmlns:a="http://schemas.openxmlformats.org/drawingml/2006/main" xmlns:pic="http://schemas.openxmlformats.org/drawingml/2006/picture">
            <wp:extent cx="5669280" cy="2994054"/>
            <wp:docPr id="3" name="Picture 3"/>
            <wp:cNvGraphicFramePr>
              <a:graphicFrameLocks noChangeAspect="1"/>
            </wp:cNvGraphicFramePr>
            <a:graphic>
              <a:graphicData uri="http://schemas.openxmlformats.org/drawingml/2006/picture">
                <pic:pic>
                  <pic:nvPicPr>
                    <pic:cNvPr id="0" name="04_forecast_vs_actual.png"/>
                    <pic:cNvPicPr/>
                  </pic:nvPicPr>
                  <pic:blipFill>
                    <a:blip r:embed="rId11"/>
                    <a:stretch>
                      <a:fillRect/>
                    </a:stretch>
                  </pic:blipFill>
                  <pic:spPr>
                    <a:xfrm>
                      <a:off x="0" y="0"/>
                      <a:ext cx="5669280" cy="2994054"/>
                    </a:xfrm>
                    <a:prstGeom prst="rect"/>
                  </pic:spPr>
                </pic:pic>
              </a:graphicData>
            </a:graphic>
          </wp:inline>
        </w:drawing>
      </w:r>
    </w:p>
    <w:p>
      <w:pPr>
        <w:spacing w:after="280"/>
        <w:jc w:val="center"/>
      </w:pPr>
      <w:r>
        <w:rPr>
          <w:i/>
          <w:color w:val="888888"/>
          <w:sz w:val="17"/>
        </w:rPr>
        <w:t>Figure: SARIMA Forecast vs Actual — Weekly Ending Cash Balance</w:t>
      </w:r>
    </w:p>
    <w:p/>
    <w:p>
      <w:pPr>
        <w:pStyle w:val="Heading2"/>
      </w:pPr>
      <w:r>
        <w:rPr>
          <w:b/>
          <w:color w:val="3D8EB9"/>
          <w:sz w:val="26"/>
        </w:rPr>
        <w:t>Weekly Pipeline Value</w:t>
      </w:r>
    </w:p>
    <w:p>
      <w:pPr>
        <w:spacing w:before="40" w:after="160"/>
        <w:pBdr>
          <w:bottom w:val="single" w:sz="6" w:space="1" w:color="3D8EB9"/>
        </w:pBdr>
      </w:pPr>
    </w:p>
    <w:tbl>
      <w:tblPr>
        <w:tblStyle w:val="TableGrid"/>
        <w:tblW w:type="auto" w:w="0"/>
        <w:tblLook w:firstColumn="1" w:firstRow="1" w:lastColumn="0" w:lastRow="0" w:noHBand="0" w:noVBand="1" w:val="04A0"/>
      </w:tblPr>
      <w:tblGrid>
        <w:gridCol w:w="3684"/>
        <w:gridCol w:w="3684"/>
        <w:gridCol w:w="3684"/>
        <w:gridCol w:w="3684"/>
      </w:tblGrid>
      <w:tr>
        <w:tc>
          <w:tcPr>
            <w:tcW w:type="dxa" w:w="3600"/>
            <w:shd w:val="clear" w:color="auto" w:fill="1A3A5C"/>
          </w:tcPr>
          <w:p>
            <w:pPr>
              <w:jc w:val="center"/>
            </w:pPr>
            <w:r>
              <w:rPr>
                <w:b/>
                <w:color w:val="FFFFFF"/>
                <w:sz w:val="18"/>
              </w:rPr>
              <w:t>Model</w:t>
            </w:r>
          </w:p>
        </w:tc>
        <w:tc>
          <w:tcPr>
            <w:tcW w:type="dxa" w:w="1872"/>
            <w:shd w:val="clear" w:color="auto" w:fill="1A3A5C"/>
          </w:tcPr>
          <w:p>
            <w:pPr>
              <w:jc w:val="center"/>
            </w:pPr>
            <w:r>
              <w:rPr>
                <w:b/>
                <w:color w:val="FFFFFF"/>
                <w:sz w:val="18"/>
              </w:rPr>
              <w:t>MAPE</w:t>
            </w:r>
          </w:p>
        </w:tc>
        <w:tc>
          <w:tcPr>
            <w:tcW w:type="dxa" w:w="1872"/>
            <w:shd w:val="clear" w:color="auto" w:fill="1A3A5C"/>
          </w:tcPr>
          <w:p>
            <w:pPr>
              <w:jc w:val="center"/>
            </w:pPr>
            <w:r>
              <w:rPr>
                <w:b/>
                <w:color w:val="FFFFFF"/>
                <w:sz w:val="18"/>
              </w:rPr>
              <w:t>MAE</w:t>
            </w:r>
          </w:p>
        </w:tc>
        <w:tc>
          <w:tcPr>
            <w:tcW w:type="dxa" w:w="1872"/>
            <w:shd w:val="clear" w:color="auto" w:fill="1A3A5C"/>
          </w:tcPr>
          <w:p>
            <w:pPr>
              <w:jc w:val="center"/>
            </w:pPr>
            <w:r>
              <w:rPr>
                <w:b/>
                <w:color w:val="FFFFFF"/>
                <w:sz w:val="18"/>
              </w:rPr>
              <w:t>RMSE</w:t>
            </w:r>
          </w:p>
        </w:tc>
      </w:tr>
      <w:tr>
        <w:tc>
          <w:tcPr>
            <w:tcW w:type="dxa" w:w="3600"/>
            <w:shd w:val="clear" w:color="auto" w:fill="F0F6FA"/>
          </w:tcPr>
          <w:p>
            <w:pPr>
              <w:jc w:val="center"/>
            </w:pPr>
            <w:r>
              <w:rPr>
                <w:b w:val="0"/>
                <w:color w:val="000000"/>
                <w:sz w:val="20"/>
              </w:rPr>
              <w:t>SARIMA(0, 1, 1)x(0, 0, 0, 4)</w:t>
            </w:r>
          </w:p>
        </w:tc>
        <w:tc>
          <w:tcPr>
            <w:tcW w:type="dxa" w:w="1872"/>
            <w:shd w:val="clear" w:color="auto" w:fill="F0F6FA"/>
          </w:tcPr>
          <w:p>
            <w:pPr>
              <w:jc w:val="center"/>
            </w:pPr>
            <w:r>
              <w:rPr>
                <w:b/>
                <w:color w:val="854F0B"/>
                <w:sz w:val="20"/>
              </w:rPr>
              <w:t>17.9%</w:t>
            </w:r>
          </w:p>
        </w:tc>
        <w:tc>
          <w:tcPr>
            <w:tcW w:type="dxa" w:w="1872"/>
            <w:shd w:val="clear" w:color="auto" w:fill="F0F6FA"/>
          </w:tcPr>
          <w:p>
            <w:pPr>
              <w:jc w:val="center"/>
            </w:pPr>
            <w:r>
              <w:rPr>
                <w:b w:val="0"/>
                <w:color w:val="000000"/>
                <w:sz w:val="20"/>
              </w:rPr>
              <w:t>$12,893</w:t>
            </w:r>
          </w:p>
        </w:tc>
        <w:tc>
          <w:tcPr>
            <w:tcW w:type="dxa" w:w="1872"/>
            <w:shd w:val="clear" w:color="auto" w:fill="F0F6FA"/>
          </w:tcPr>
          <w:p>
            <w:pPr>
              <w:jc w:val="center"/>
            </w:pPr>
            <w:r>
              <w:rPr>
                <w:b w:val="0"/>
                <w:color w:val="000000"/>
                <w:sz w:val="20"/>
              </w:rPr>
              <w:t>$14,276</w:t>
            </w:r>
          </w:p>
        </w:tc>
      </w:tr>
    </w:tbl>
    <w:p/>
    <w:p>
      <w:pPr>
        <w:spacing w:after="160"/>
      </w:pPr>
      <w:r>
        <w:rPr>
          <w:b w:val="0"/>
          <w:i/>
          <w:color w:val="854F0B"/>
          <w:sz w:val="21"/>
        </w:rPr>
        <w:t>Moderate — directionally accurate. Verify against actuals each week.</w:t>
      </w:r>
    </w:p>
    <w:p>
      <w:pPr>
        <w:spacing w:after="120"/>
      </w:pPr>
      <w:r>
        <w:rPr>
          <w:b w:val="0"/>
          <w:i w:val="0"/>
          <w:color w:val="000000"/>
          <w:sz w:val="21"/>
        </w:rPr>
        <w:t>The model applies one differencing pass to remove the underlying trend slope before learning patterns. It looks for repeating cycles every 4 weeks, which corresponds to roughly one month in this data. Active components: recent forecast-error correction.</w:t>
      </w:r>
    </w:p>
    <w:p>
      <w:pPr>
        <w:spacing w:after="120"/>
      </w:pPr>
      <w:r>
        <w:rPr>
          <w:b w:val="0"/>
          <w:i w:val="0"/>
          <w:color w:val="000000"/>
          <w:sz w:val="21"/>
        </w:rPr>
        <w:t>The average forecast error is $12,893, which represents 17.1% of the observed average ($75,218). RMSE ($14,276) is close to MAE, meaning errors are consistent in size without large outlier misses. At 17.9% MAPE, the model captures the right direction but individual period values may vary moderately. Cross-validation (3-fold) confirms this at 18.3% +/- 7.5% average MAPE, indicating variable model performance across different time windows.</w:t>
      </w:r>
    </w:p>
    <w:p>
      <w:pPr>
        <w:spacing w:after="120"/>
      </w:pPr>
      <w:r>
        <w:rPr>
          <w:b w:val="0"/>
          <w:i w:val="0"/>
          <w:color w:val="000000"/>
          <w:sz w:val="21"/>
        </w:rPr>
        <w:t>In the forecast chart below for Weekly Pipeline Value, the blue line shows the training period the model learned from, the green line shows real validation data the model had not seen (the honest test), and the orange line is the model's forecast. If green tracks orange closely the model is reliable for that horizon; if they diverge significantly, the business shifted in a way the model did not anticipate. The shaded band represents the 95% confidence interval — a wider band signals greater uncertainty.</w:t>
      </w:r>
    </w:p>
    <w:p>
      <w:pPr>
        <w:spacing w:after="160"/>
      </w:pPr>
      <w:r>
        <w:rPr>
          <w:b/>
          <w:color w:val="1A3A5C"/>
          <w:sz w:val="20"/>
        </w:rPr>
        <w:t xml:space="preserve">Decision Guidance: </w:t>
      </w:r>
      <w:r>
        <w:rPr>
          <w:b/>
          <w:color w:val="854F0B"/>
          <w:sz w:val="20"/>
        </w:rPr>
        <w:t>Use for directional awareness, not precise planning. Verify actuals weekly. Flag if actual values diverge from the forecast by more than $12,893 for two consecutive periods.</w:t>
      </w:r>
    </w:p>
    <w:p>
      <w:pPr>
        <w:jc w:val="center"/>
      </w:pPr>
      <w:r>
        <w:drawing>
          <wp:inline xmlns:a="http://schemas.openxmlformats.org/drawingml/2006/main" xmlns:pic="http://schemas.openxmlformats.org/drawingml/2006/picture">
            <wp:extent cx="5669280" cy="2940827"/>
            <wp:docPr id="4" name="Picture 4"/>
            <wp:cNvGraphicFramePr>
              <a:graphicFrameLocks noChangeAspect="1"/>
            </wp:cNvGraphicFramePr>
            <a:graphic>
              <a:graphicData uri="http://schemas.openxmlformats.org/drawingml/2006/picture">
                <pic:pic>
                  <pic:nvPicPr>
                    <pic:cNvPr id="0" name="04_forecast_vs_actual.png"/>
                    <pic:cNvPicPr/>
                  </pic:nvPicPr>
                  <pic:blipFill>
                    <a:blip r:embed="rId12"/>
                    <a:stretch>
                      <a:fillRect/>
                    </a:stretch>
                  </pic:blipFill>
                  <pic:spPr>
                    <a:xfrm>
                      <a:off x="0" y="0"/>
                      <a:ext cx="5669280" cy="2940827"/>
                    </a:xfrm>
                    <a:prstGeom prst="rect"/>
                  </pic:spPr>
                </pic:pic>
              </a:graphicData>
            </a:graphic>
          </wp:inline>
        </w:drawing>
      </w:r>
    </w:p>
    <w:p>
      <w:pPr>
        <w:spacing w:after="280"/>
        <w:jc w:val="center"/>
      </w:pPr>
      <w:r>
        <w:rPr>
          <w:i/>
          <w:color w:val="888888"/>
          <w:sz w:val="17"/>
        </w:rPr>
        <w:t>Figure: SARIMA Forecast vs Actual — Weekly Pipeline Value</w:t>
      </w:r>
    </w:p>
    <w:p/>
    <w:p>
      <w:pPr>
        <w:pStyle w:val="Heading2"/>
      </w:pPr>
      <w:r>
        <w:rPr>
          <w:b/>
          <w:color w:val="3D8EB9"/>
          <w:sz w:val="26"/>
        </w:rPr>
        <w:t>Weekly Billable Hours</w:t>
      </w:r>
    </w:p>
    <w:p>
      <w:pPr>
        <w:spacing w:before="40" w:after="160"/>
        <w:pBdr>
          <w:bottom w:val="single" w:sz="6" w:space="1" w:color="3D8EB9"/>
        </w:pBdr>
      </w:pPr>
    </w:p>
    <w:tbl>
      <w:tblPr>
        <w:tblStyle w:val="TableGrid"/>
        <w:tblW w:type="auto" w:w="0"/>
        <w:tblLook w:firstColumn="1" w:firstRow="1" w:lastColumn="0" w:lastRow="0" w:noHBand="0" w:noVBand="1" w:val="04A0"/>
      </w:tblPr>
      <w:tblGrid>
        <w:gridCol w:w="3684"/>
        <w:gridCol w:w="3684"/>
        <w:gridCol w:w="3684"/>
        <w:gridCol w:w="3684"/>
      </w:tblGrid>
      <w:tr>
        <w:tc>
          <w:tcPr>
            <w:tcW w:type="dxa" w:w="3600"/>
            <w:shd w:val="clear" w:color="auto" w:fill="1A3A5C"/>
          </w:tcPr>
          <w:p>
            <w:pPr>
              <w:jc w:val="center"/>
            </w:pPr>
            <w:r>
              <w:rPr>
                <w:b/>
                <w:color w:val="FFFFFF"/>
                <w:sz w:val="18"/>
              </w:rPr>
              <w:t>Model</w:t>
            </w:r>
          </w:p>
        </w:tc>
        <w:tc>
          <w:tcPr>
            <w:tcW w:type="dxa" w:w="1872"/>
            <w:shd w:val="clear" w:color="auto" w:fill="1A3A5C"/>
          </w:tcPr>
          <w:p>
            <w:pPr>
              <w:jc w:val="center"/>
            </w:pPr>
            <w:r>
              <w:rPr>
                <w:b/>
                <w:color w:val="FFFFFF"/>
                <w:sz w:val="18"/>
              </w:rPr>
              <w:t>MAPE</w:t>
            </w:r>
          </w:p>
        </w:tc>
        <w:tc>
          <w:tcPr>
            <w:tcW w:type="dxa" w:w="1872"/>
            <w:shd w:val="clear" w:color="auto" w:fill="1A3A5C"/>
          </w:tcPr>
          <w:p>
            <w:pPr>
              <w:jc w:val="center"/>
            </w:pPr>
            <w:r>
              <w:rPr>
                <w:b/>
                <w:color w:val="FFFFFF"/>
                <w:sz w:val="18"/>
              </w:rPr>
              <w:t>MAE</w:t>
            </w:r>
          </w:p>
        </w:tc>
        <w:tc>
          <w:tcPr>
            <w:tcW w:type="dxa" w:w="1872"/>
            <w:shd w:val="clear" w:color="auto" w:fill="1A3A5C"/>
          </w:tcPr>
          <w:p>
            <w:pPr>
              <w:jc w:val="center"/>
            </w:pPr>
            <w:r>
              <w:rPr>
                <w:b/>
                <w:color w:val="FFFFFF"/>
                <w:sz w:val="18"/>
              </w:rPr>
              <w:t>RMSE</w:t>
            </w:r>
          </w:p>
        </w:tc>
      </w:tr>
      <w:tr>
        <w:tc>
          <w:tcPr>
            <w:tcW w:type="dxa" w:w="3600"/>
            <w:shd w:val="clear" w:color="auto" w:fill="F0F6FA"/>
          </w:tcPr>
          <w:p>
            <w:pPr>
              <w:jc w:val="center"/>
            </w:pPr>
            <w:r>
              <w:rPr>
                <w:b w:val="0"/>
                <w:color w:val="000000"/>
                <w:sz w:val="20"/>
              </w:rPr>
              <w:t>SARIMA(2, 1, 2)x(0, 0, 0, 4)</w:t>
            </w:r>
          </w:p>
        </w:tc>
        <w:tc>
          <w:tcPr>
            <w:tcW w:type="dxa" w:w="1872"/>
            <w:shd w:val="clear" w:color="auto" w:fill="F0F6FA"/>
          </w:tcPr>
          <w:p>
            <w:pPr>
              <w:jc w:val="center"/>
            </w:pPr>
            <w:r>
              <w:rPr>
                <w:b/>
                <w:color w:val="3B6D11"/>
                <w:sz w:val="20"/>
              </w:rPr>
              <w:t>2.9%</w:t>
            </w:r>
          </w:p>
        </w:tc>
        <w:tc>
          <w:tcPr>
            <w:tcW w:type="dxa" w:w="1872"/>
            <w:shd w:val="clear" w:color="auto" w:fill="F0F6FA"/>
          </w:tcPr>
          <w:p>
            <w:pPr>
              <w:jc w:val="center"/>
            </w:pPr>
            <w:r>
              <w:rPr>
                <w:b w:val="0"/>
                <w:color w:val="000000"/>
                <w:sz w:val="20"/>
              </w:rPr>
              <w:t>8.2</w:t>
            </w:r>
          </w:p>
        </w:tc>
        <w:tc>
          <w:tcPr>
            <w:tcW w:type="dxa" w:w="1872"/>
            <w:shd w:val="clear" w:color="auto" w:fill="F0F6FA"/>
          </w:tcPr>
          <w:p>
            <w:pPr>
              <w:jc w:val="center"/>
            </w:pPr>
            <w:r>
              <w:rPr>
                <w:b w:val="0"/>
                <w:color w:val="000000"/>
                <w:sz w:val="20"/>
              </w:rPr>
              <w:t>9.0</w:t>
            </w:r>
          </w:p>
        </w:tc>
      </w:tr>
    </w:tbl>
    <w:p/>
    <w:p>
      <w:pPr>
        <w:spacing w:after="160"/>
      </w:pPr>
      <w:r>
        <w:rPr>
          <w:b w:val="0"/>
          <w:i/>
          <w:color w:val="3B6D11"/>
          <w:sz w:val="21"/>
        </w:rPr>
        <w:t>Excellent — high-confidence forecast. Use for operational decisions.</w:t>
      </w:r>
    </w:p>
    <w:p>
      <w:pPr>
        <w:spacing w:after="120"/>
      </w:pPr>
      <w:r>
        <w:rPr>
          <w:b w:val="0"/>
          <w:i w:val="0"/>
          <w:color w:val="000000"/>
          <w:sz w:val="21"/>
        </w:rPr>
        <w:t>The model applies one differencing pass to remove the underlying trend slope before learning patterns. It looks for repeating cycles every 4 weeks, which corresponds to roughly one month in this data. Active components: short-term momentum, recent forecast-error correction.</w:t>
      </w:r>
    </w:p>
    <w:p>
      <w:pPr>
        <w:spacing w:after="120"/>
      </w:pPr>
      <w:r>
        <w:rPr>
          <w:b w:val="0"/>
          <w:i w:val="0"/>
          <w:color w:val="000000"/>
          <w:sz w:val="21"/>
        </w:rPr>
        <w:t>The average forecast error is 8.2 hrs, which represents 2.9% of the observed average (281.7 hrs). RMSE (9.0 hrs) is close to MAE, meaning errors are consistent in size without large outlier misses. At 2.9% MAPE, this forecast is highly precise — expect actual values to land very close to projections. Cross-validation (3-fold) confirms this at 2.0% +/- 0.5% average MAPE, indicating stable model performance across different time windows.</w:t>
      </w:r>
    </w:p>
    <w:p>
      <w:pPr>
        <w:spacing w:after="120"/>
      </w:pPr>
      <w:r>
        <w:rPr>
          <w:b w:val="0"/>
          <w:i w:val="0"/>
          <w:color w:val="000000"/>
          <w:sz w:val="21"/>
        </w:rPr>
        <w:t>In the forecast chart below for Weekly Billable Hours, the blue line shows the training period the model learned from, the green line shows real validation data the model had not seen (the honest test), and the orange line is the model's forecast. If green tracks orange closely the model is reliable for that horizon; if they diverge significantly, the business shifted in a way the model did not anticipate. The shaded band represents the 95% confidence interval — a wider band signals greater uncertainty.</w:t>
      </w:r>
    </w:p>
    <w:p>
      <w:pPr>
        <w:spacing w:after="160"/>
      </w:pPr>
      <w:r>
        <w:rPr>
          <w:b/>
          <w:color w:val="1A3A5C"/>
          <w:sz w:val="20"/>
        </w:rPr>
        <w:t xml:space="preserve">Decision Guidance: </w:t>
      </w:r>
      <w:r>
        <w:rPr>
          <w:b/>
          <w:color w:val="3B6D11"/>
          <w:sz w:val="20"/>
        </w:rPr>
        <w:t>Use this forecast for operational planning. At 2.9% MAPE it is reliable enough to inform staffing, scheduling, and cash decisions directly.</w:t>
      </w:r>
    </w:p>
    <w:p>
      <w:pPr>
        <w:jc w:val="center"/>
      </w:pPr>
      <w:r>
        <w:drawing>
          <wp:inline xmlns:a="http://schemas.openxmlformats.org/drawingml/2006/main" xmlns:pic="http://schemas.openxmlformats.org/drawingml/2006/picture">
            <wp:extent cx="5669280" cy="3073525"/>
            <wp:docPr id="5" name="Picture 5"/>
            <wp:cNvGraphicFramePr>
              <a:graphicFrameLocks noChangeAspect="1"/>
            </wp:cNvGraphicFramePr>
            <a:graphic>
              <a:graphicData uri="http://schemas.openxmlformats.org/drawingml/2006/picture">
                <pic:pic>
                  <pic:nvPicPr>
                    <pic:cNvPr id="0" name="04_forecast_vs_actual.png"/>
                    <pic:cNvPicPr/>
                  </pic:nvPicPr>
                  <pic:blipFill>
                    <a:blip r:embed="rId13"/>
                    <a:stretch>
                      <a:fillRect/>
                    </a:stretch>
                  </pic:blipFill>
                  <pic:spPr>
                    <a:xfrm>
                      <a:off x="0" y="0"/>
                      <a:ext cx="5669280" cy="3073525"/>
                    </a:xfrm>
                    <a:prstGeom prst="rect"/>
                  </pic:spPr>
                </pic:pic>
              </a:graphicData>
            </a:graphic>
          </wp:inline>
        </w:drawing>
      </w:r>
    </w:p>
    <w:p>
      <w:pPr>
        <w:spacing w:after="280"/>
        <w:jc w:val="center"/>
      </w:pPr>
      <w:r>
        <w:rPr>
          <w:i/>
          <w:color w:val="888888"/>
          <w:sz w:val="17"/>
        </w:rPr>
        <w:t>Figure: SARIMA Forecast vs Actual — Weekly Billable Hours</w:t>
      </w:r>
    </w:p>
    <w:p/>
    <w:p>
      <w:pPr>
        <w:spacing w:before="240"/>
        <w:jc w:val="center"/>
      </w:pPr>
      <w:r>
        <w:rPr>
          <w:color w:val="AAAAAA"/>
          <w:sz w:val="16"/>
        </w:rPr>
        <w:t>SignalStack by True North Data Strategies  |  jacob@truenorthstrategyops.com  |  719-204-6365  |  Colorado Springs, CO  |  SDVOSB</w:t>
      </w:r>
    </w:p>
    <w:sectPr w:rsidR="00FC693F" w:rsidRPr="0006063C" w:rsidSect="00034616">
      <w:pgSz w:w="17618" w:h="2280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