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604EC">
      <w:pPr>
        <w:pStyle w:val="34"/>
      </w:pPr>
      <w:r>
        <w:t>Plan de Communication des Incidents IA Documenté</w:t>
      </w:r>
      <w:bookmarkStart w:id="0" w:name="_GoBack"/>
      <w:bookmarkEnd w:id="0"/>
    </w:p>
    <w:p w14:paraId="1550CDF4">
      <w:r>
        <w:t>Description :</w:t>
      </w:r>
      <w:r>
        <w:br w:type="textWrapping"/>
      </w:r>
      <w:r>
        <w:t>[À compléter par l'organisation]</w:t>
      </w:r>
    </w:p>
    <w:p w14:paraId="40FFCBDA">
      <w:pPr>
        <w:pStyle w:val="2"/>
      </w:pPr>
      <w:r>
        <w:t>Utilité du document</w:t>
      </w:r>
    </w:p>
    <w:p w14:paraId="7B8E2E66">
      <w:r>
        <w:t>Ce document formalise le plan de communication des incidents aux utilisateurs du système d'IA, détaillant les types d'incidents, les canaux de communication, les délais et les rôles définis.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C6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9BE4D29AE83941A8A32A10F29E76BEA8_13</vt:lpwstr>
  </property>
</Properties>
</file>