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ABC61">
      <w:pPr>
        <w:pStyle w:val="34"/>
      </w:pPr>
      <w:r>
        <w:t xml:space="preserve">Procédures de Notification d'Incident Définies </w:t>
      </w:r>
      <w:bookmarkStart w:id="0" w:name="_GoBack"/>
      <w:bookmarkEnd w:id="0"/>
    </w:p>
    <w:p w14:paraId="034B3DA9">
      <w:r>
        <w:t>Description :</w:t>
      </w:r>
      <w:r>
        <w:br w:type="textWrapping"/>
      </w:r>
      <w:r>
        <w:t>[À compléter par l'organisation]</w:t>
      </w:r>
    </w:p>
    <w:p w14:paraId="0B6D8D58">
      <w:pPr>
        <w:pStyle w:val="2"/>
      </w:pPr>
      <w:r>
        <w:t>Utilité du document</w:t>
      </w:r>
    </w:p>
    <w:p w14:paraId="04D4DC68">
      <w:r>
        <w:t>Ce document formalise les procédures détaillées de notification d'incident aux utilisateurs du système d'IA.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2B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2025-05-12T15:01:47Z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2DE8850907FB4C02901C1A5410CB1AB1_13</vt:lpwstr>
  </property>
</Properties>
</file>