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2384C">
      <w:pPr>
        <w:pStyle w:val="34"/>
      </w:pPr>
      <w:r>
        <w:t xml:space="preserve">Obligations de Déclaration Documentées du Système d'IA </w:t>
      </w:r>
      <w:bookmarkStart w:id="0" w:name="_GoBack"/>
      <w:bookmarkEnd w:id="0"/>
    </w:p>
    <w:p w14:paraId="20307D20">
      <w:r>
        <w:t>Description :</w:t>
      </w:r>
      <w:r>
        <w:br w:type="textWrapping"/>
      </w:r>
      <w:r>
        <w:t>[À compléter par l'organisation]</w:t>
      </w:r>
    </w:p>
    <w:p w14:paraId="1DD73730">
      <w:pPr>
        <w:pStyle w:val="2"/>
      </w:pPr>
      <w:r>
        <w:t>Utilité du document</w:t>
      </w:r>
    </w:p>
    <w:p w14:paraId="4B275865">
      <w:r>
        <w:t>Ce document formellement documente les obligations de déclaration et reporting relatives au système IA vers les parties intéressées, assurant le respect des exigences légales et contractuelles.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35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E72E3DCDACCA41079D5BEAE205CCA2A2_13</vt:lpwstr>
  </property>
</Properties>
</file>