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643167">
      <w:pPr>
        <w:pStyle w:val="34"/>
      </w:pPr>
      <w:r>
        <w:t xml:space="preserve">Registre des Rapports de Préoccupations liés à l'IA et des Mesures Prises </w:t>
      </w:r>
      <w:bookmarkStart w:id="0" w:name="_GoBack"/>
      <w:bookmarkEnd w:id="0"/>
    </w:p>
    <w:p w14:paraId="293F8E22"/>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643F873D">
        <w:tblPrEx>
          <w:tblCellMar>
            <w:top w:w="0" w:type="dxa"/>
            <w:left w:w="108" w:type="dxa"/>
            <w:bottom w:w="0" w:type="dxa"/>
            <w:right w:w="108" w:type="dxa"/>
          </w:tblCellMar>
        </w:tblPrEx>
        <w:tc>
          <w:tcPr>
            <w:tcW w:w="2160" w:type="dxa"/>
          </w:tcPr>
          <w:p w14:paraId="5B1C3FF9">
            <w:r>
              <w:t>Date du rapport</w:t>
            </w:r>
          </w:p>
        </w:tc>
        <w:tc>
          <w:tcPr>
            <w:tcW w:w="2160" w:type="dxa"/>
          </w:tcPr>
          <w:p w14:paraId="1C4AF69D">
            <w:r>
              <w:t>Description de la préoccupation signalée</w:t>
            </w:r>
          </w:p>
        </w:tc>
        <w:tc>
          <w:tcPr>
            <w:tcW w:w="2160" w:type="dxa"/>
          </w:tcPr>
          <w:p w14:paraId="2254CB7D">
            <w:r>
              <w:t>Actions et mesures correctives prises</w:t>
            </w:r>
          </w:p>
        </w:tc>
        <w:tc>
          <w:tcPr>
            <w:tcW w:w="2160" w:type="dxa"/>
          </w:tcPr>
          <w:p w14:paraId="03E75126">
            <w:r>
              <w:t>Date de clôture / suivi</w:t>
            </w:r>
          </w:p>
        </w:tc>
      </w:tr>
      <w:tr w14:paraId="46D8B4C5">
        <w:tblPrEx>
          <w:tblCellMar>
            <w:top w:w="0" w:type="dxa"/>
            <w:left w:w="108" w:type="dxa"/>
            <w:bottom w:w="0" w:type="dxa"/>
            <w:right w:w="108" w:type="dxa"/>
          </w:tblCellMar>
        </w:tblPrEx>
        <w:tc>
          <w:tcPr>
            <w:tcW w:w="2160" w:type="dxa"/>
          </w:tcPr>
          <w:p w14:paraId="48B9CC5F"/>
        </w:tc>
        <w:tc>
          <w:tcPr>
            <w:tcW w:w="2160" w:type="dxa"/>
          </w:tcPr>
          <w:p w14:paraId="154EAE80"/>
        </w:tc>
        <w:tc>
          <w:tcPr>
            <w:tcW w:w="2160" w:type="dxa"/>
          </w:tcPr>
          <w:p w14:paraId="6FA12927"/>
        </w:tc>
        <w:tc>
          <w:tcPr>
            <w:tcW w:w="2160" w:type="dxa"/>
          </w:tcPr>
          <w:p w14:paraId="4526CFE0"/>
        </w:tc>
      </w:tr>
      <w:tr w14:paraId="7011C630">
        <w:tblPrEx>
          <w:tblCellMar>
            <w:top w:w="0" w:type="dxa"/>
            <w:left w:w="108" w:type="dxa"/>
            <w:bottom w:w="0" w:type="dxa"/>
            <w:right w:w="108" w:type="dxa"/>
          </w:tblCellMar>
        </w:tblPrEx>
        <w:tc>
          <w:tcPr>
            <w:tcW w:w="2160" w:type="dxa"/>
          </w:tcPr>
          <w:p w14:paraId="57C81D65"/>
        </w:tc>
        <w:tc>
          <w:tcPr>
            <w:tcW w:w="2160" w:type="dxa"/>
          </w:tcPr>
          <w:p w14:paraId="6D5591A8"/>
        </w:tc>
        <w:tc>
          <w:tcPr>
            <w:tcW w:w="2160" w:type="dxa"/>
          </w:tcPr>
          <w:p w14:paraId="64E50239"/>
        </w:tc>
        <w:tc>
          <w:tcPr>
            <w:tcW w:w="2160" w:type="dxa"/>
          </w:tcPr>
          <w:p w14:paraId="642D1187"/>
        </w:tc>
      </w:tr>
    </w:tbl>
    <w:p w14:paraId="13834660"/>
    <w:p w14:paraId="130CCB71">
      <w:pPr>
        <w:pStyle w:val="2"/>
      </w:pPr>
      <w:r>
        <w:t>Utilité du document</w:t>
      </w:r>
    </w:p>
    <w:p w14:paraId="6ABA4BB2">
      <w:r>
        <w:t>Ce registre permet de tracer toutes les préoccupations et incidents signalés concernant l'IA, ainsi que les actions entreprises par l'organisation pour les traiter. Il constitue une preuve clé lors d'un audit pour démontrer que l'organisation suit, examine et résout de manière documentée toutes les alertes, garantissant ainsi la gestion proactive des risques IA.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50B4DE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2025-05-12T09:52:09Z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F366B4F0CE96414790310598F21894E0_13</vt:lpwstr>
  </property>
</Properties>
</file>