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B2566A">
      <w:pPr>
        <w:pStyle w:val="34"/>
      </w:pPr>
      <w:r>
        <w:t xml:space="preserve">Registre des Revues et Mises à Jour Opérationnelles des Systèmes IA </w:t>
      </w:r>
      <w:bookmarkStart w:id="0" w:name="_GoBack"/>
      <w:bookmarkEnd w:id="0"/>
    </w:p>
    <w:p w14:paraId="09452FC5"/>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7C413AA6">
        <w:tblPrEx>
          <w:tblCellMar>
            <w:top w:w="0" w:type="dxa"/>
            <w:left w:w="108" w:type="dxa"/>
            <w:bottom w:w="0" w:type="dxa"/>
            <w:right w:w="108" w:type="dxa"/>
          </w:tblCellMar>
        </w:tblPrEx>
        <w:tc>
          <w:tcPr>
            <w:tcW w:w="2160" w:type="dxa"/>
          </w:tcPr>
          <w:p w14:paraId="2FB4FB39">
            <w:r>
              <w:t>Date de revue / mise à jour</w:t>
            </w:r>
          </w:p>
        </w:tc>
        <w:tc>
          <w:tcPr>
            <w:tcW w:w="2160" w:type="dxa"/>
          </w:tcPr>
          <w:p w14:paraId="47EA58A4">
            <w:r>
              <w:t>Système IA concerné</w:t>
            </w:r>
          </w:p>
        </w:tc>
        <w:tc>
          <w:tcPr>
            <w:tcW w:w="2160" w:type="dxa"/>
          </w:tcPr>
          <w:p w14:paraId="38DA22F9">
            <w:r>
              <w:t>Résumé des changements / mises à jour opérationnelles</w:t>
            </w:r>
          </w:p>
        </w:tc>
        <w:tc>
          <w:tcPr>
            <w:tcW w:w="2160" w:type="dxa"/>
          </w:tcPr>
          <w:p w14:paraId="2F06024D">
            <w:r>
              <w:t>Responsable de validation</w:t>
            </w:r>
          </w:p>
        </w:tc>
      </w:tr>
      <w:tr w14:paraId="5549E2AC">
        <w:tblPrEx>
          <w:tblCellMar>
            <w:top w:w="0" w:type="dxa"/>
            <w:left w:w="108" w:type="dxa"/>
            <w:bottom w:w="0" w:type="dxa"/>
            <w:right w:w="108" w:type="dxa"/>
          </w:tblCellMar>
        </w:tblPrEx>
        <w:tc>
          <w:tcPr>
            <w:tcW w:w="2160" w:type="dxa"/>
          </w:tcPr>
          <w:p w14:paraId="13C12677"/>
        </w:tc>
        <w:tc>
          <w:tcPr>
            <w:tcW w:w="2160" w:type="dxa"/>
          </w:tcPr>
          <w:p w14:paraId="6828436D"/>
        </w:tc>
        <w:tc>
          <w:tcPr>
            <w:tcW w:w="2160" w:type="dxa"/>
          </w:tcPr>
          <w:p w14:paraId="69D67003"/>
        </w:tc>
        <w:tc>
          <w:tcPr>
            <w:tcW w:w="2160" w:type="dxa"/>
          </w:tcPr>
          <w:p w14:paraId="78D32812"/>
        </w:tc>
      </w:tr>
      <w:tr w14:paraId="245EB5B0">
        <w:tblPrEx>
          <w:tblCellMar>
            <w:top w:w="0" w:type="dxa"/>
            <w:left w:w="108" w:type="dxa"/>
            <w:bottom w:w="0" w:type="dxa"/>
            <w:right w:w="108" w:type="dxa"/>
          </w:tblCellMar>
        </w:tblPrEx>
        <w:tc>
          <w:tcPr>
            <w:tcW w:w="2160" w:type="dxa"/>
          </w:tcPr>
          <w:p w14:paraId="5EBB7320"/>
        </w:tc>
        <w:tc>
          <w:tcPr>
            <w:tcW w:w="2160" w:type="dxa"/>
          </w:tcPr>
          <w:p w14:paraId="541D7EB0"/>
        </w:tc>
        <w:tc>
          <w:tcPr>
            <w:tcW w:w="2160" w:type="dxa"/>
          </w:tcPr>
          <w:p w14:paraId="0A9A1520"/>
        </w:tc>
        <w:tc>
          <w:tcPr>
            <w:tcW w:w="2160" w:type="dxa"/>
          </w:tcPr>
          <w:p w14:paraId="0F67FFB6"/>
        </w:tc>
      </w:tr>
    </w:tbl>
    <w:p w14:paraId="725AEB67"/>
    <w:p w14:paraId="799DC1A1">
      <w:pPr>
        <w:pStyle w:val="2"/>
      </w:pPr>
      <w:r>
        <w:t>Utilité du document</w:t>
      </w:r>
    </w:p>
    <w:p w14:paraId="0DD8F99F">
      <w:r>
        <w:t>Ce registre trace les revues périodiques et les mises à jour des procédures et exigences opérationnelles des systèmes IA. Il constitue une preuve en audit démontrant que l'organisation actualise et adapte régulièrement ses opérations IA en fonction des performances, incidents, retours clients ou évolutions réglementaires.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58E0B3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757AA3C620364E659D8E48CE5EABF24B_13</vt:lpwstr>
  </property>
</Properties>
</file>