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B8860B"/>
          <w:sz w:val="24"/>
        </w:rPr>
        <w:t>PRIVATE &amp; CONFIDENTIAL</w:t>
      </w:r>
    </w:p>
    <w:p>
      <w:pPr>
        <w:spacing w:after="40"/>
        <w:jc w:val="center"/>
      </w:pPr>
      <w:r>
        <w:rPr>
          <w:rFonts w:ascii="Calibri" w:hAnsi="Calibri"/>
          <w:b/>
          <w:color w:val="0F172A"/>
          <w:sz w:val="44"/>
        </w:rPr>
        <w:t>EXCLUSIVE INVESTMENT OFFER</w:t>
      </w:r>
    </w:p>
    <w:p>
      <w:pPr>
        <w:spacing w:after="280"/>
        <w:jc w:val="center"/>
      </w:pPr>
      <w:r>
        <w:rPr>
          <w:rFonts w:ascii="Calibri" w:hAnsi="Calibri"/>
          <w:b/>
          <w:color w:val="0F172A"/>
          <w:sz w:val="26"/>
        </w:rPr>
        <w:t>KATAMKPE LUXURY TERRACE ESTATE — TERRACE UNIT FOR SALE (CARCASS / UNFINISHED)</w:t>
      </w:r>
    </w:p>
    <w:p>
      <w:pPr>
        <w:spacing w:after="40" w:line="276" w:lineRule="auto"/>
      </w:pPr>
      <w:r>
        <w:rPr>
          <w:rFonts w:ascii="Calibri" w:hAnsi="Calibri"/>
          <w:b/>
          <w:i w:val="0"/>
          <w:color w:val="222222"/>
          <w:sz w:val="22"/>
        </w:rPr>
        <w:t>Prepared for: Prospective Buyer</w:t>
      </w:r>
    </w:p>
    <w:p>
      <w:pPr>
        <w:spacing w:after="40" w:line="276" w:lineRule="auto"/>
      </w:pPr>
      <w:r>
        <w:rPr>
          <w:rFonts w:ascii="Calibri" w:hAnsi="Calibri"/>
          <w:b/>
          <w:i w:val="0"/>
          <w:color w:val="222222"/>
          <w:sz w:val="22"/>
        </w:rPr>
        <w:t>Prepared by: Tom Ugbodaga — Shareholder &amp; CEO, BETONIQ WEST LTD</w:t>
      </w:r>
    </w:p>
    <w:p>
      <w:pPr>
        <w:spacing w:after="320" w:line="276" w:lineRule="auto"/>
      </w:pPr>
      <w:r>
        <w:rPr>
          <w:rFonts w:ascii="Calibri" w:hAnsi="Calibri"/>
          <w:b w:val="0"/>
          <w:i/>
          <w:color w:val="222222"/>
          <w:sz w:val="21"/>
        </w:rPr>
        <w:t>Date: August 17, 2026</w:t>
      </w:r>
    </w:p>
    <w:p>
      <w:pPr>
        <w:jc w:val="center"/>
      </w:pPr>
      <w:r>
        <w:rPr>
          <w:color w:val="B8860B"/>
          <w:sz w:val="28"/>
        </w:rPr>
        <w:t>— • —</w:t>
      </w:r>
    </w:p>
    <w:p/>
    <w:p>
      <w:pPr>
        <w:spacing w:after="160"/>
      </w:pPr>
      <w:r>
        <w:rPr>
          <w:rFonts w:ascii="Calibri" w:hAnsi="Calibri"/>
          <w:b/>
          <w:color w:val="0F172A"/>
          <w:sz w:val="28"/>
        </w:rPr>
        <w:t>A Rare Entry Point Into One of Abuja's Fastest-Appreciating Corridors</w:t>
      </w:r>
    </w:p>
    <w:p>
      <w:pPr>
        <w:spacing w:after="16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Katamkpe is not a speculative land banking play — it is nine architecturally distinct luxury terrace units, arranged in a striking L-shaped configuration, sitting directly parallel to a newly completed 4-lane super highway that has transformed access into this corridor almost overnight. What was, until recently, a quiet stretch of premium Abuja real estate is now a highway-fronted address — and highway-fronted luxury addresses in the FCT do not stay affordable for long.</w:t>
      </w:r>
    </w:p>
    <w:p>
      <w:pPr>
        <w:spacing w:after="200" w:line="276" w:lineRule="auto"/>
      </w:pPr>
      <w:r>
        <w:rPr>
          <w:rFonts w:ascii="Calibri" w:hAnsi="Calibri"/>
          <w:b w:val="0"/>
          <w:color w:val="222222"/>
          <w:sz w:val="22"/>
        </w:rPr>
        <w:t xml:space="preserve">This offer concerns one single unit </w:t>
      </w:r>
      <w:r>
        <w:rPr>
          <w:rFonts w:ascii="Calibri" w:hAnsi="Calibri"/>
          <w:b/>
          <w:color w:val="222222"/>
          <w:sz w:val="22"/>
        </w:rPr>
        <w:t>still at carcass stage — structurally complete, roofed, and standing, but intentionally left unfinished.</w:t>
      </w:r>
      <w:r>
        <w:rPr>
          <w:rFonts w:ascii="Calibri" w:hAnsi="Calibri"/>
          <w:b w:val="0"/>
          <w:color w:val="222222"/>
          <w:sz w:val="22"/>
        </w:rPr>
        <w:t xml:space="preserve"> That is not a defect. It is the opportunity. You are not buying a finished house at a finished-house price. You are stepping in ahead of the finishing phase, at a materially lower entry cost, with full control over every tile, fitting, and finish that goes into the home you will actually live in or resell.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0F172A"/>
          <w:sz w:val="22"/>
        </w:rPr>
        <w:t>Only nine units exist in this estate. This is the kind of scarcity that, in every comparable Abuja luxury corridor before it, has produced rapid post-completion price appreciation for whoever bought early.</w:t>
      </w:r>
    </w:p>
    <w:p/>
    <w:p>
      <w:pPr>
        <w:spacing w:after="160"/>
      </w:pPr>
      <w:r>
        <w:rPr>
          <w:rFonts w:ascii="Calibri" w:hAnsi="Calibri"/>
          <w:b/>
          <w:color w:val="0F172A"/>
          <w:sz w:val="26"/>
        </w:rPr>
        <w:t>1. The Unit on Offer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1e293b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6624"/>
            <w:shd w:val="clear" w:color="auto" w:fill="1e293b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Estate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Katamkpe Luxury Terrace Estate — 9-unit L-shaped configuration (5 + 4 units)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Location advantage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Direct frontage/parallel access to the newly constructed 4-lane super highway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Unit type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4-Bedroom Luxury Terrace Duplex, en-suite throughout, with Boys' Quarters (BQ)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Built-up floor area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Approx. 380 sqm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Plot allocation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Approx. 200 sqm serviced plot within the gated estate (balance is shared estate infrastructure)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Current construction stage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Carcass / unfinished — foundation, superstructure, block work, roofing structure, ring beam &amp; lintel complete. No plastering, painting, flooring, doors, windows, kitchen/bathroom fittings, or M&amp;E fixtures installed yet.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Title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Estate-wide title documentation in progress under the Katamkpe development; unit-specific allocation to be perfected on sale execution.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Calibri" w:hAnsi="Calibri"/>
          <w:b/>
          <w:color w:val="0F172A"/>
          <w:sz w:val="26"/>
        </w:rPr>
        <w:t>2. Why an Unfinished Unit Is the Smarter Buy</w:t>
      </w:r>
    </w:p>
    <w:p>
      <w:pPr>
        <w:spacing w:after="16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Every finished luxury home you view already carries someone else's taste, someone else's tile choices, and a developer's finishing markup baked silently into the asking price. Buying at carcass stage removes all three problems at once.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•  You finish it exactly to your own specification, or your architect/interior designer's — no compromise on someone else's decisions.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•  You avoid the developer's standard finishing margin entirely, because you commission your own finishing works directly.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•  You enter at a price materially below the completed market value of the exact same unit — the numbers in Section 4 show precisely how much lower.</w:t>
      </w:r>
    </w:p>
    <w:p/>
    <w:p>
      <w:pPr>
        <w:spacing w:after="160"/>
      </w:pPr>
      <w:r>
        <w:rPr>
          <w:rFonts w:ascii="Calibri" w:hAnsi="Calibri"/>
          <w:b/>
          <w:color w:val="0F172A"/>
          <w:sz w:val="26"/>
        </w:rPr>
        <w:t>3. Actual Cost Breakdown — The Unfinished (Carcass) Unit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ECD9"/>
          </w:tcPr>
          <w:p>
            <w:r/>
            <w:r>
              <w:rPr>
                <w:b/>
                <w:color w:val="8A6A00"/>
                <w:sz w:val="20"/>
              </w:rPr>
              <w:t>HOW TO READ THIS TABLE</w:t>
            </w:r>
          </w:p>
          <w:p>
            <w:pPr>
              <w:spacing w:after="40"/>
            </w:pPr>
            <w:r>
              <w:rPr>
                <w:color w:val="222222"/>
                <w:sz w:val="19"/>
              </w:rPr>
              <w:t>This is the developer's actual incurred cost to bring this specific unit to its current carcass stage — land,</w:t>
            </w:r>
          </w:p>
          <w:p>
            <w:pPr>
              <w:spacing w:after="40"/>
            </w:pPr>
            <w:r>
              <w:rPr>
                <w:color w:val="222222"/>
                <w:sz w:val="19"/>
              </w:rPr>
              <w:t>structure, and site infrastructure only. It does NOT include any finishing, fittings, M&amp;E completion, developer</w:t>
            </w:r>
          </w:p>
          <w:p>
            <w:pPr>
              <w:spacing w:after="40"/>
            </w:pPr>
            <w:r>
              <w:rPr>
                <w:color w:val="222222"/>
                <w:sz w:val="19"/>
              </w:rPr>
              <w:t>margin, or market/location premium — those are addressed separately in Section 4.</w:t>
            </w:r>
          </w:p>
          <w:p>
            <w:pPr>
              <w:spacing w:after="40"/>
            </w:pPr>
            <w:r>
              <w:rPr>
                <w:color w:val="222222"/>
                <w:sz w:val="19"/>
              </w:rPr>
              <w:t>Figures are working construction-cost estimates for Tom's review against real site invoices/receipts before this</w:t>
            </w:r>
          </w:p>
          <w:p>
            <w:pPr>
              <w:spacing w:after="40"/>
            </w:pPr>
            <w:r>
              <w:rPr>
                <w:color w:val="222222"/>
                <w:sz w:val="19"/>
              </w:rPr>
              <w:t>proposal is shown to any buyer — treat these as a defensible starting figure, not yet a reconciled audit.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056"/>
            <w:shd w:val="clear" w:color="auto" w:fill="1e293b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Cost Item</w:t>
            </w:r>
          </w:p>
        </w:tc>
        <w:tc>
          <w:tcPr>
            <w:tcW w:type="dxa" w:w="2448"/>
            <w:shd w:val="clear" w:color="auto" w:fill="1e293b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Amount (NGN)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sz w:val="19"/>
              </w:rPr>
              <w:t>Land acquisition &amp; allocation (unit share, title/survey/C of O processing)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₦55,000,000</w:t>
            </w:r>
          </w:p>
        </w:tc>
      </w:tr>
      <w:tr>
        <w:tc>
          <w:tcPr>
            <w:tcW w:type="dxa" w:w="7056"/>
          </w:tcPr>
          <w:p>
            <w:r/>
            <w:r>
              <w:rPr>
                <w:sz w:val="19"/>
              </w:rPr>
              <w:t>Site preparation &amp; foundation (clearing, excavation, foundation concrete, DPC)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₦18,500,000</w:t>
            </w:r>
          </w:p>
        </w:tc>
      </w:tr>
      <w:tr>
        <w:tc>
          <w:tcPr>
            <w:tcW w:type="dxa" w:w="7056"/>
          </w:tcPr>
          <w:p>
            <w:r/>
            <w:r>
              <w:rPr>
                <w:sz w:val="19"/>
              </w:rPr>
              <w:t>Superstructure — block work &amp; structural framing (blocks, cement, reinforcement, columns, beams)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₦42,000,000</w:t>
            </w:r>
          </w:p>
        </w:tc>
      </w:tr>
      <w:tr>
        <w:tc>
          <w:tcPr>
            <w:tcW w:type="dxa" w:w="7056"/>
          </w:tcPr>
          <w:p>
            <w:r/>
            <w:r>
              <w:rPr>
                <w:sz w:val="19"/>
              </w:rPr>
              <w:t>Roofing structure &amp; carcass roofing (trusses, structural roofing sheets — no ceiling finish)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₦21,500,000</w:t>
            </w:r>
          </w:p>
        </w:tc>
      </w:tr>
      <w:tr>
        <w:tc>
          <w:tcPr>
            <w:tcW w:type="dxa" w:w="7056"/>
          </w:tcPr>
          <w:p>
            <w:r/>
            <w:r>
              <w:rPr>
                <w:sz w:val="19"/>
              </w:rPr>
              <w:t>Ring beam, lintel &amp; structural concrete works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₦14,000,000</w:t>
            </w:r>
          </w:p>
        </w:tc>
      </w:tr>
      <w:tr>
        <w:tc>
          <w:tcPr>
            <w:tcW w:type="dxa" w:w="7056"/>
          </w:tcPr>
          <w:p>
            <w:r/>
            <w:r>
              <w:rPr>
                <w:sz w:val="19"/>
              </w:rPr>
              <w:t>Rough-in electrical &amp; plumbing (conduits, pipe routing only — no fixtures)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₦12,000,000</w:t>
            </w:r>
          </w:p>
        </w:tc>
      </w:tr>
      <w:tr>
        <w:tc>
          <w:tcPr>
            <w:tcW w:type="dxa" w:w="7056"/>
          </w:tcPr>
          <w:p>
            <w:r/>
            <w:r>
              <w:rPr>
                <w:sz w:val="19"/>
              </w:rPr>
              <w:t>Door/window structural openings (openings only — no frames or glazing yet)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₦6,500,000</w:t>
            </w:r>
          </w:p>
        </w:tc>
      </w:tr>
      <w:tr>
        <w:tc>
          <w:tcPr>
            <w:tcW w:type="dxa" w:w="7056"/>
          </w:tcPr>
          <w:p>
            <w:r/>
            <w:r>
              <w:rPr>
                <w:sz w:val="19"/>
              </w:rPr>
              <w:t>Site infrastructure share (highway access tie-in, perimeter wall/gate, drainage)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₦16,500,000</w:t>
            </w:r>
          </w:p>
        </w:tc>
      </w:tr>
      <w:tr>
        <w:tc>
          <w:tcPr>
            <w:tcW w:type="dxa" w:w="7056"/>
          </w:tcPr>
          <w:p>
            <w:r/>
            <w:r>
              <w:rPr>
                <w:sz w:val="19"/>
              </w:rPr>
              <w:t>Professional fees &amp; site supervision (carcass phase only)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₦8,000,000</w:t>
            </w:r>
          </w:p>
        </w:tc>
      </w:tr>
      <w:tr>
        <w:tc>
          <w:tcPr>
            <w:tcW w:type="dxa" w:w="7056"/>
          </w:tcPr>
          <w:p>
            <w:r/>
            <w:r>
              <w:rPr>
                <w:sz w:val="19"/>
              </w:rPr>
              <w:t>Contingency (carcass phase, ~5%)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₦9,000,000</w:t>
            </w:r>
          </w:p>
        </w:tc>
      </w:tr>
      <w:tr>
        <w:tc>
          <w:tcPr>
            <w:tcW w:type="dxa" w:w="7056"/>
            <w:shd w:val="clear" w:color="auto" w:fill="FBF3DD"/>
          </w:tcPr>
          <w:p>
            <w:r/>
            <w:r>
              <w:rPr>
                <w:b/>
                <w:color w:val="B8860B"/>
                <w:sz w:val="19"/>
              </w:rPr>
              <w:t>TOTAL ACTUAL COST — UNFINISHED UNIT</w:t>
            </w:r>
          </w:p>
        </w:tc>
        <w:tc>
          <w:tcPr>
            <w:tcW w:type="dxa" w:w="2448"/>
            <w:shd w:val="clear" w:color="auto" w:fill="FBF3DD"/>
          </w:tcPr>
          <w:p>
            <w:r/>
            <w:r>
              <w:rPr>
                <w:b/>
                <w:color w:val="B8860B"/>
                <w:sz w:val="19"/>
              </w:rPr>
              <w:t>₦203,000,000</w:t>
            </w:r>
          </w:p>
        </w:tc>
      </w:tr>
    </w:tbl>
    <w:p>
      <w:pPr>
        <w:spacing w:after="80"/>
      </w:pPr>
    </w:p>
    <w:p>
      <w:pPr>
        <w:spacing w:after="160" w:line="276" w:lineRule="auto"/>
      </w:pPr>
      <w:r>
        <w:rPr>
          <w:rFonts w:ascii="Calibri" w:hAnsi="Calibri"/>
          <w:b w:val="0"/>
          <w:i/>
          <w:color w:val="555555"/>
          <w:sz w:val="20"/>
        </w:rPr>
        <w:t>This figure is consistent with prevailing Katampe market reality: even a base-specification carcass / lintel-roofed unfinished terrace unit in this corridor costs no less than ₦200,000,000 to bring to this stage. At ₦203,000,000, this unit sits right at that market floor despite being a full 4-bedroom luxury terrace duplex with direct highway frontage — the actual cost is realistic and defensible, not inflated.</w:t>
      </w:r>
    </w:p>
    <w:p>
      <w:pPr>
        <w:spacing w:after="160"/>
      </w:pPr>
      <w:r>
        <w:rPr>
          <w:rFonts w:ascii="Calibri" w:hAnsi="Calibri"/>
          <w:b/>
          <w:color w:val="0F172A"/>
          <w:sz w:val="26"/>
        </w:rPr>
        <w:t>4. Precise Valuation — The Same Unit, Fully Finished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ECD9"/>
          </w:tcPr>
          <w:p>
            <w:r/>
            <w:r>
              <w:rPr>
                <w:b/>
                <w:color w:val="8A6A00"/>
                <w:sz w:val="20"/>
              </w:rPr>
              <w:t>HOW TO READ THIS TABLE</w:t>
            </w:r>
          </w:p>
          <w:p>
            <w:pPr>
              <w:spacing w:after="40"/>
            </w:pPr>
            <w:r>
              <w:rPr>
                <w:color w:val="222222"/>
                <w:sz w:val="19"/>
              </w:rPr>
              <w:t>This bridges the actual carcass cost above to the ₦450,000,000 completed market valuation. 'Completion cost' is</w:t>
            </w:r>
          </w:p>
          <w:p>
            <w:pPr>
              <w:spacing w:after="40"/>
            </w:pPr>
            <w:r>
              <w:rPr>
                <w:color w:val="222222"/>
                <w:sz w:val="19"/>
              </w:rPr>
              <w:t>what it would cost the developer to finish the unit to full luxury spec (plastering, paint, flooring, kitchen,</w:t>
            </w:r>
          </w:p>
          <w:p>
            <w:pPr>
              <w:spacing w:after="40"/>
            </w:pPr>
            <w:r>
              <w:rPr>
                <w:color w:val="222222"/>
                <w:sz w:val="19"/>
              </w:rPr>
              <w:t>bathroom fittings, doors, windows, electrical/plumbing fixtures, landscaping share). 'Location &amp; market premium'</w:t>
            </w:r>
          </w:p>
          <w:p>
            <w:pPr>
              <w:spacing w:after="40"/>
            </w:pPr>
            <w:r>
              <w:rPr>
                <w:color w:val="222222"/>
                <w:sz w:val="19"/>
              </w:rPr>
              <w:t>reflects genuine comparable luxury terrace pricing along this corridor since the highway's completion — it is a</w:t>
            </w:r>
          </w:p>
          <w:p>
            <w:pPr>
              <w:spacing w:after="40"/>
            </w:pPr>
            <w:r>
              <w:rPr>
                <w:color w:val="222222"/>
                <w:sz w:val="19"/>
              </w:rPr>
              <w:t>market-based figure, not an arbitrary markup.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056"/>
            <w:shd w:val="clear" w:color="auto" w:fill="1e293b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448"/>
            <w:shd w:val="clear" w:color="auto" w:fill="1e293b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Amount (NGN)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sz w:val="19"/>
              </w:rPr>
              <w:t>Actual carcass cost (from Section 3)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₦203,000,000</w:t>
            </w:r>
          </w:p>
        </w:tc>
      </w:tr>
      <w:tr>
        <w:tc>
          <w:tcPr>
            <w:tcW w:type="dxa" w:w="7056"/>
          </w:tcPr>
          <w:p>
            <w:r/>
            <w:r>
              <w:rPr>
                <w:sz w:val="19"/>
              </w:rPr>
              <w:t>Completion cost to full luxury finish (interior finishing, M&amp;E fit-out, kitchen/bathroom fittings, landscaping share)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₦75,000,000</w:t>
            </w:r>
          </w:p>
        </w:tc>
      </w:tr>
      <w:tr>
        <w:tc>
          <w:tcPr>
            <w:tcW w:type="dxa" w:w="7056"/>
          </w:tcPr>
          <w:p>
            <w:r/>
            <w:r>
              <w:rPr>
                <w:sz w:val="19"/>
              </w:rPr>
              <w:t>Subtotal — full all-in development cost if completed by the developer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₦278,000,000</w:t>
            </w:r>
          </w:p>
        </w:tc>
      </w:tr>
      <w:tr>
        <w:tc>
          <w:tcPr>
            <w:tcW w:type="dxa" w:w="7056"/>
          </w:tcPr>
          <w:p>
            <w:r/>
            <w:r>
              <w:rPr>
                <w:sz w:val="19"/>
              </w:rPr>
              <w:t>Location &amp; market premium (highway-fronted, gated 9-unit exclusivity, comparable corridor pricing)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₦172,000,000</w:t>
            </w:r>
          </w:p>
        </w:tc>
      </w:tr>
      <w:tr>
        <w:tc>
          <w:tcPr>
            <w:tcW w:type="dxa" w:w="7056"/>
            <w:shd w:val="clear" w:color="auto" w:fill="FBF3DD"/>
          </w:tcPr>
          <w:p>
            <w:r/>
            <w:r>
              <w:rPr>
                <w:b/>
                <w:color w:val="B8860B"/>
                <w:sz w:val="19"/>
              </w:rPr>
              <w:t>FINISHED MARKET VALUATION — PER UNIT</w:t>
            </w:r>
          </w:p>
        </w:tc>
        <w:tc>
          <w:tcPr>
            <w:tcW w:type="dxa" w:w="2448"/>
            <w:shd w:val="clear" w:color="auto" w:fill="FBF3DD"/>
          </w:tcPr>
          <w:p>
            <w:r/>
            <w:r>
              <w:rPr>
                <w:b/>
                <w:color w:val="B8860B"/>
                <w:sz w:val="19"/>
              </w:rPr>
              <w:t>₦450,000,000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Calibri" w:hAnsi="Calibri"/>
          <w:b/>
          <w:color w:val="0F172A"/>
          <w:sz w:val="26"/>
        </w:rPr>
        <w:t>5. Business Justification — Why ₦350,000,000 Is the Right Offer Price</w:t>
      </w:r>
    </w:p>
    <w:p>
      <w:pPr>
        <w:spacing w:after="160" w:line="276" w:lineRule="auto"/>
      </w:pPr>
      <w:r>
        <w:rPr>
          <w:rFonts w:ascii="Calibri" w:hAnsi="Calibri"/>
          <w:b w:val="0"/>
          <w:color w:val="222222"/>
          <w:sz w:val="22"/>
        </w:rPr>
        <w:t xml:space="preserve">The standing offer price for this unfinished unit is </w:t>
      </w:r>
      <w:r>
        <w:rPr>
          <w:rFonts w:ascii="Calibri" w:hAnsi="Calibri"/>
          <w:b/>
          <w:color w:val="222222"/>
          <w:sz w:val="22"/>
        </w:rPr>
        <w:t>₦350,000,000</w:t>
      </w:r>
      <w:r>
        <w:rPr>
          <w:rFonts w:ascii="Calibri" w:hAnsi="Calibri"/>
          <w:b w:val="0"/>
          <w:color w:val="222222"/>
          <w:sz w:val="22"/>
        </w:rPr>
        <w:t xml:space="preserve"> — a full </w:t>
      </w:r>
      <w:r>
        <w:rPr>
          <w:rFonts w:ascii="Calibri" w:hAnsi="Calibri"/>
          <w:b/>
          <w:color w:val="222222"/>
          <w:sz w:val="22"/>
        </w:rPr>
        <w:t>₦100,000,000 (22%) below</w:t>
      </w:r>
      <w:r>
        <w:rPr>
          <w:rFonts w:ascii="Calibri" w:hAnsi="Calibri"/>
          <w:b w:val="0"/>
          <w:color w:val="222222"/>
          <w:sz w:val="22"/>
        </w:rPr>
        <w:t xml:space="preserve"> the ₦450,000,000 completed market valuation established in Section 4. That gap alone is the headline reason this offer works: no comparable finished unit in this corridor trades anywhere near ₦350M.</w:t>
      </w:r>
    </w:p>
    <w:p>
      <w:pPr>
        <w:spacing w:after="200" w:line="276" w:lineRule="auto"/>
      </w:pPr>
      <w:r>
        <w:rPr>
          <w:rFonts w:ascii="Calibri" w:hAnsi="Calibri"/>
          <w:b w:val="0"/>
          <w:color w:val="222222"/>
          <w:sz w:val="22"/>
        </w:rPr>
        <w:t xml:space="preserve">But the real number that matters to you as a buyer is what happens after you finish it yourself. Completing this unit to full luxury spec costs approximately </w:t>
      </w:r>
      <w:r>
        <w:rPr>
          <w:rFonts w:ascii="Calibri" w:hAnsi="Calibri"/>
          <w:b/>
          <w:color w:val="222222"/>
          <w:sz w:val="22"/>
        </w:rPr>
        <w:t>₦75,000,000</w:t>
      </w:r>
      <w:r>
        <w:rPr>
          <w:rFonts w:ascii="Calibri" w:hAnsi="Calibri"/>
          <w:b w:val="0"/>
          <w:color w:val="222222"/>
          <w:sz w:val="22"/>
        </w:rPr>
        <w:t xml:space="preserve"> (Section 4). Add that to the </w:t>
      </w:r>
      <w:r>
        <w:rPr>
          <w:rFonts w:ascii="Calibri" w:hAnsi="Calibri"/>
          <w:b/>
          <w:color w:val="222222"/>
          <w:sz w:val="22"/>
        </w:rPr>
        <w:t>₦350,000,000</w:t>
      </w:r>
      <w:r>
        <w:rPr>
          <w:rFonts w:ascii="Calibri" w:hAnsi="Calibri"/>
          <w:b w:val="0"/>
          <w:color w:val="222222"/>
          <w:sz w:val="22"/>
        </w:rPr>
        <w:t xml:space="preserve"> purchase price and your total all-in cost is </w:t>
      </w:r>
      <w:r>
        <w:rPr>
          <w:rFonts w:ascii="Calibri" w:hAnsi="Calibri"/>
          <w:b/>
          <w:color w:val="222222"/>
          <w:sz w:val="22"/>
        </w:rPr>
        <w:t>₦425,000,000</w:t>
      </w:r>
      <w:r>
        <w:rPr>
          <w:rFonts w:ascii="Calibri" w:hAnsi="Calibri"/>
          <w:b w:val="0"/>
          <w:color w:val="222222"/>
          <w:sz w:val="22"/>
        </w:rPr>
        <w:t xml:space="preserve"> — against a completed market value of </w:t>
      </w:r>
      <w:r>
        <w:rPr>
          <w:rFonts w:ascii="Calibri" w:hAnsi="Calibri"/>
          <w:b/>
          <w:color w:val="222222"/>
          <w:sz w:val="22"/>
        </w:rPr>
        <w:t>₦450,000,000</w:t>
      </w:r>
      <w:r>
        <w:rPr>
          <w:rFonts w:ascii="Calibri" w:hAnsi="Calibri"/>
          <w:b w:val="0"/>
          <w:color w:val="222222"/>
          <w:sz w:val="22"/>
        </w:rPr>
        <w:t xml:space="preserve">. That is </w:t>
      </w:r>
      <w:r>
        <w:rPr>
          <w:rFonts w:ascii="Calibri" w:hAnsi="Calibri"/>
          <w:b/>
          <w:color w:val="222222"/>
          <w:sz w:val="22"/>
        </w:rPr>
        <w:t>₦25,000,000 of built-in equity</w:t>
      </w:r>
      <w:r>
        <w:rPr>
          <w:rFonts w:ascii="Calibri" w:hAnsi="Calibri"/>
          <w:b w:val="0"/>
          <w:color w:val="222222"/>
          <w:sz w:val="22"/>
        </w:rPr>
        <w:t xml:space="preserve"> the moment you finish the build, before any further market appreciation from the highway completion is even factored in.</w:t>
      </w:r>
    </w:p>
    <w:p>
      <w:pPr>
        <w:spacing w:after="16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From the seller's side, this price is disciplined, not arbitrary: it recovers the full ₦203,000,000 actually invested in land and structure, plus a development margin of ₦147,000,000 — proportionate to a project that sits directly on a newly built highway in one of Abuja's most closely watched luxury corridors, and nowhere close to the ₦450,000,000 ceiling the finished product commands.</w:t>
      </w:r>
    </w:p>
    <w:p>
      <w:pPr>
        <w:spacing w:after="160"/>
      </w:pPr>
      <w:r>
        <w:rPr>
          <w:rFonts w:ascii="Calibri" w:hAnsi="Calibri"/>
          <w:b/>
          <w:color w:val="0F172A"/>
          <w:sz w:val="26"/>
        </w:rPr>
        <w:t>6. Payment Options — A Special Buyer Incentive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ECD9"/>
          </w:tcPr>
          <w:p>
            <w:r/>
            <w:r>
              <w:rPr>
                <w:b/>
                <w:color w:val="8A6A00"/>
                <w:sz w:val="20"/>
              </w:rPr>
              <w:t>HOW TO READ THIS SECTION</w:t>
            </w:r>
          </w:p>
          <w:p>
            <w:pPr>
              <w:spacing w:after="40"/>
            </w:pPr>
            <w:r>
              <w:rPr>
                <w:color w:val="222222"/>
                <w:sz w:val="19"/>
              </w:rPr>
              <w:t>Option A rewards immediate full payment with a ₦50,000,000 discount off the ₦350,000,000 standing offer price —</w:t>
            </w:r>
          </w:p>
          <w:p>
            <w:pPr>
              <w:spacing w:after="40"/>
            </w:pPr>
            <w:r>
              <w:rPr>
                <w:color w:val="222222"/>
                <w:sz w:val="19"/>
              </w:rPr>
              <w:t>a single payment of ₦300,000,000 closes the sale outright. Option B keeps the full ₦350,000,000 standing offer</w:t>
            </w:r>
          </w:p>
          <w:p>
            <w:pPr>
              <w:spacing w:after="40"/>
            </w:pPr>
            <w:r>
              <w:rPr>
                <w:color w:val="222222"/>
                <w:sz w:val="19"/>
              </w:rPr>
              <w:t>price but spreads it across two payments: ₦200,000,000 on execution, and the ₦150,000,000 balance within 45</w:t>
            </w:r>
          </w:p>
          <w:p>
            <w:pPr>
              <w:spacing w:after="40"/>
            </w:pPr>
            <w:r>
              <w:rPr>
                <w:color w:val="222222"/>
                <w:sz w:val="19"/>
              </w:rPr>
              <w:t>days. Neither option is priced above the standing offer price — Option A is simply the discounted cash route,</w:t>
            </w:r>
          </w:p>
          <w:p>
            <w:pPr>
              <w:spacing w:after="40"/>
            </w:pPr>
            <w:r>
              <w:rPr>
                <w:color w:val="222222"/>
                <w:sz w:val="19"/>
              </w:rPr>
              <w:t>Option B is the full-price installment route.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color="auto" w:fill="1e293b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Option</w:t>
            </w:r>
          </w:p>
        </w:tc>
        <w:tc>
          <w:tcPr>
            <w:tcW w:type="dxa" w:w="5904"/>
            <w:shd w:val="clear" w:color="auto" w:fill="1e293b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Structure</w:t>
            </w:r>
          </w:p>
        </w:tc>
        <w:tc>
          <w:tcPr>
            <w:tcW w:type="dxa" w:w="2160"/>
            <w:shd w:val="clear" w:color="auto" w:fill="1e293b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Total Consideration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Option A — Single Payment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One full and final payment of ₦300,000,000 on execution of the sale agreement (₦50,000,000 cash-payment discount off the standing offer price).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₦300,000,000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Option B — 2-Stage Payment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First payment of ₦200,000,000 on execution of the sale agreement, balance of ₦150,000,000 due within 45 days (full standing offer price, no discount).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₦350,000,000</w:t>
            </w:r>
          </w:p>
        </w:tc>
      </w:tr>
    </w:tbl>
    <w:p>
      <w:pPr>
        <w:spacing w:after="80"/>
      </w:pPr>
    </w:p>
    <w:p>
      <w:pPr>
        <w:spacing w:after="200" w:line="276" w:lineRule="auto"/>
      </w:pPr>
      <w:r>
        <w:rPr>
          <w:rFonts w:ascii="Calibri" w:hAnsi="Calibri"/>
          <w:b w:val="0"/>
          <w:color w:val="222222"/>
          <w:sz w:val="22"/>
        </w:rPr>
        <w:t xml:space="preserve">Under Option A, your total all-in cost — purchase price plus completion — is </w:t>
      </w:r>
      <w:r>
        <w:rPr>
          <w:rFonts w:ascii="Calibri" w:hAnsi="Calibri"/>
          <w:b/>
          <w:color w:val="222222"/>
          <w:sz w:val="22"/>
        </w:rPr>
        <w:t>₦375,000,000</w:t>
      </w:r>
      <w:r>
        <w:rPr>
          <w:rFonts w:ascii="Calibri" w:hAnsi="Calibri"/>
          <w:b w:val="0"/>
          <w:color w:val="222222"/>
          <w:sz w:val="22"/>
        </w:rPr>
        <w:t xml:space="preserve"> against a ₦450,000,000 finished valuation: </w:t>
      </w:r>
      <w:r>
        <w:rPr>
          <w:rFonts w:ascii="Calibri" w:hAnsi="Calibri"/>
          <w:b/>
          <w:color w:val="222222"/>
          <w:sz w:val="22"/>
        </w:rPr>
        <w:t>₦75,000,000 in immediate built-in equity.</w:t>
      </w:r>
      <w:r>
        <w:rPr>
          <w:rFonts w:ascii="Calibri" w:hAnsi="Calibri"/>
          <w:b w:val="0"/>
          <w:color w:val="222222"/>
          <w:sz w:val="22"/>
        </w:rPr>
        <w:t xml:space="preserve"> Under Option B, your all-in cost is </w:t>
      </w:r>
      <w:r>
        <w:rPr>
          <w:rFonts w:ascii="Calibri" w:hAnsi="Calibri"/>
          <w:b/>
          <w:color w:val="222222"/>
          <w:sz w:val="22"/>
        </w:rPr>
        <w:t>₦425,000,000</w:t>
      </w:r>
      <w:r>
        <w:rPr>
          <w:rFonts w:ascii="Calibri" w:hAnsi="Calibri"/>
          <w:b w:val="0"/>
          <w:color w:val="222222"/>
          <w:sz w:val="22"/>
        </w:rPr>
        <w:t xml:space="preserve">, still </w:t>
      </w:r>
      <w:r>
        <w:rPr>
          <w:rFonts w:ascii="Calibri" w:hAnsi="Calibri"/>
          <w:b/>
          <w:color w:val="222222"/>
          <w:sz w:val="22"/>
        </w:rPr>
        <w:t>₦25,000,000 below finished market value</w:t>
      </w:r>
      <w:r>
        <w:rPr>
          <w:rFonts w:ascii="Calibri" w:hAnsi="Calibri"/>
          <w:b w:val="0"/>
          <w:color w:val="222222"/>
          <w:sz w:val="22"/>
        </w:rPr>
        <w:t xml:space="preserve"> — before the estate's own post-highway appreciation is even counted.</w:t>
      </w:r>
    </w:p>
    <w:p>
      <w:pPr>
        <w:spacing w:after="160"/>
      </w:pPr>
      <w:r>
        <w:rPr>
          <w:rFonts w:ascii="Calibri" w:hAnsi="Calibri"/>
          <w:b/>
          <w:color w:val="0F172A"/>
          <w:sz w:val="26"/>
        </w:rPr>
        <w:t>7. Why Now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•  Only nine units exist in the entire Katamkpe estate — this is not a phased development with hundreds of future units diluting scarcity.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•  The 4-lane super highway is newly completed, not newly announced — the value driver is already in the ground, not a promise on a masterplan.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•  Carcass-stage entry pricing like this closes the moment finishing work begins on any unit — once finishing starts, pricing moves to completed-unit valuation.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•  The ₦300,000,000 discounted cash price under Option A is a decisive-buyer incentive only — it is available now, not indefinitely, and reverts to the ₦350,000,000 standing offer price (Option B terms) once this window closes.</w:t>
      </w:r>
    </w:p>
    <w:p/>
    <w:p>
      <w:pPr>
        <w:jc w:val="center"/>
      </w:pPr>
      <w:r>
        <w:rPr>
          <w:color w:val="B8860B"/>
          <w:sz w:val="28"/>
        </w:rPr>
        <w:t>— • —</w:t>
      </w:r>
    </w:p>
    <w:p/>
    <w:p>
      <w:pPr>
        <w:spacing w:after="280" w:line="276" w:lineRule="auto"/>
      </w:pPr>
      <w:r>
        <w:rPr>
          <w:rFonts w:ascii="Calibri" w:hAnsi="Calibri"/>
          <w:b w:val="0"/>
          <w:i/>
          <w:color w:val="222222"/>
          <w:sz w:val="22"/>
        </w:rPr>
        <w:t>This proposal is offered in good faith as an exclusive, time-sensitive opportunity. We welcome a site visit at your convenience to inspect the unit, the estate, and the highway frontage firsthand before proceeding.</w:t>
      </w:r>
    </w:p>
    <w:p>
      <w:pPr>
        <w:spacing w:after="40" w:line="276" w:lineRule="auto"/>
      </w:pPr>
      <w:r>
        <w:rPr>
          <w:rFonts w:ascii="Calibri" w:hAnsi="Calibri"/>
          <w:b/>
          <w:i w:val="0"/>
          <w:color w:val="222222"/>
          <w:sz w:val="24"/>
        </w:rPr>
        <w:t>Tom Ugbodaga</w:t>
      </w:r>
    </w:p>
    <w:p>
      <w:pPr>
        <w:spacing w:after="4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Shareholder &amp; CEO, BETONIQ WEST LTD</w:t>
      </w:r>
    </w:p>
    <w:p>
      <w:pPr>
        <w:spacing w:after="40" w:line="276" w:lineRule="auto"/>
      </w:pPr>
      <w:r>
        <w:rPr>
          <w:rFonts w:ascii="Calibri" w:hAnsi="Calibri"/>
          <w:b w:val="0"/>
          <w:i/>
          <w:color w:val="222222"/>
          <w:sz w:val="21"/>
        </w:rPr>
        <w:t>On behalf of the Katamkpe Estate Development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