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E2A47"/>
          <w:sz w:val="72"/>
          <w:szCs w:val="72"/>
        </w:rPr>
        <w:t xml:space="preserve">CineLink</w:t>
      </w:r>
    </w:p>
    <w:p>
      <w:pPr>
        <w:spacing w:after="60"/>
        <w:jc w:val="center"/>
      </w:pPr>
      <w:r>
        <w:rPr>
          <w:rFonts w:ascii="Arial" w:cs="Arial" w:eastAsia="Arial" w:hAnsi="Arial"/>
          <w:b/>
          <w:bCs/>
          <w:color w:val="1B4B72"/>
          <w:sz w:val="30"/>
          <w:szCs w:val="30"/>
        </w:rPr>
        <w:t xml:space="preserve">The Enterprise Funding &amp; Partnership Platform for Film &amp; Drama Production</w:t>
      </w:r>
    </w:p>
    <w:p>
      <w:pPr>
        <w:spacing w:after="60"/>
        <w:jc w:val="center"/>
      </w:pPr>
      <w:r>
        <w:rPr>
          <w:rFonts w:ascii="Arial" w:cs="Arial" w:eastAsia="Arial" w:hAnsi="Arial"/>
          <w:i/>
          <w:iCs/>
          <w:sz w:val="26"/>
          <w:szCs w:val="26"/>
        </w:rPr>
        <w:t xml:space="preserve">Technical &amp; Business White Paper</w:t>
      </w:r>
    </w:p>
    <w:p>
      <w:pPr>
        <w:spacing w:after="400"/>
        <w:jc w:val="center"/>
      </w:pPr>
      <w:r>
        <w:rPr>
          <w:rFonts w:ascii="Arial" w:cs="Arial" w:eastAsia="Arial" w:hAnsi="Arial"/>
          <w:color w:val="555555"/>
          <w:sz w:val="24"/>
          <w:szCs w:val="24"/>
        </w:rPr>
        <w:t xml:space="preserve">BETONIQ WEST LTD (RC 1496603)  ·  September 2026</w:t>
      </w:r>
    </w:p>
    <w:p>
      <w:pPr>
        <w:pStyle w:val="Heading1"/>
        <w:spacing w:after="200" w:before="360"/>
      </w:pPr>
      <w:r>
        <w:rPr>
          <w:rFonts w:ascii="Arial" w:cs="Arial" w:eastAsia="Arial" w:hAnsi="Arial"/>
          <w:b/>
          <w:bCs/>
          <w:color w:val="0E2A47"/>
          <w:sz w:val="44"/>
          <w:szCs w:val="44"/>
        </w:rPr>
        <w:t xml:space="preserve">1. Executive Summary</w:t>
      </w:r>
    </w:p>
    <w:p>
      <w:pPr>
        <w:spacing w:after="200" w:line="360"/>
        <w:jc w:val="left"/>
      </w:pPr>
      <w:r>
        <w:rPr>
          <w:rFonts w:ascii="Arial" w:cs="Arial" w:eastAsia="Arial" w:hAnsi="Arial"/>
          <w:b w:val="false"/>
          <w:bCs w:val="false"/>
          <w:i w:val="false"/>
          <w:iCs w:val="false"/>
          <w:sz w:val="36"/>
          <w:szCs w:val="36"/>
        </w:rPr>
        <w:t xml:space="preserve">BETONIQ WEST LTD builds structured financial infrastructure for markets and industries that have historically been shut out of institutional capital — from offline digital payments (ZerôPâŷ Money) to real estate development financing (BETONIQ INVEST). CineLink extends that mission into a sector with an enormous, chronically underfunded creative economy: drama and film production.</w:t>
      </w:r>
    </w:p>
    <w:p>
      <w:pPr>
        <w:spacing w:after="200" w:line="360"/>
        <w:jc w:val="left"/>
      </w:pPr>
      <w:r>
        <w:rPr>
          <w:rFonts w:ascii="Arial" w:cs="Arial" w:eastAsia="Arial" w:hAnsi="Arial"/>
          <w:b w:val="false"/>
          <w:bCs w:val="false"/>
          <w:i w:val="false"/>
          <w:iCs w:val="false"/>
          <w:sz w:val="36"/>
          <w:szCs w:val="36"/>
        </w:rPr>
        <w:t xml:space="preserve">CineLink is a standalone enterprise platform that turns film and drama production into a modern, investable business. A producer, playwright, or studio submits a project once — budget, genre, format, and team — and instantly receives a Bankability Score: a transparent, evidence-based 0-100 rating built from script readiness, team track record, budget realism, and distribution potential. That score is immediately paired with a named shortlist of real financing models and funding sources that fit the project, from tax-credit financing and pre-sale advances to equity co-production, streaming-platform deals, brand sponsorship, and crowdfunding.</w:t>
      </w:r>
    </w:p>
    <w:p>
      <w:pPr>
        <w:spacing w:after="200" w:line="360"/>
        <w:jc w:val="left"/>
      </w:pPr>
      <w:r>
        <w:rPr>
          <w:rFonts w:ascii="Arial" w:cs="Arial" w:eastAsia="Arial" w:hAnsi="Arial"/>
          <w:b w:val="false"/>
          <w:bCs w:val="false"/>
          <w:i w:val="false"/>
          <w:iCs w:val="false"/>
          <w:sz w:val="36"/>
          <w:szCs w:val="36"/>
        </w:rPr>
        <w:t xml:space="preserve">The platform is live today as an interactive browser demo with a working scoring and matching engine, an enterprise pricing model, and a full funding-source directory. This document sets out the problem, the platform, the funding-sourcing strategy behind it, the business model, and the ask.</w:t>
      </w:r>
    </w:p>
    <w:p>
      <w:pPr>
        <w:pStyle w:val="Heading1"/>
        <w:spacing w:after="200" w:before="360"/>
      </w:pPr>
      <w:r>
        <w:rPr>
          <w:rFonts w:ascii="Arial" w:cs="Arial" w:eastAsia="Arial" w:hAnsi="Arial"/>
          <w:b/>
          <w:bCs/>
          <w:color w:val="0E2A47"/>
          <w:sz w:val="44"/>
          <w:szCs w:val="44"/>
        </w:rPr>
        <w:t xml:space="preserve">2. The Problem: A Structural Financing Gap in Drama &amp; Film</w:t>
      </w:r>
    </w:p>
    <w:p>
      <w:pPr>
        <w:spacing w:after="200" w:line="360"/>
        <w:jc w:val="left"/>
      </w:pPr>
      <w:r>
        <w:rPr>
          <w:rFonts w:ascii="Arial" w:cs="Arial" w:eastAsia="Arial" w:hAnsi="Arial"/>
          <w:b w:val="false"/>
          <w:bCs w:val="false"/>
          <w:i w:val="false"/>
          <w:iCs w:val="false"/>
          <w:sz w:val="36"/>
          <w:szCs w:val="36"/>
        </w:rPr>
        <w:t xml:space="preserve">The global film and television production market is valued at over $170 billion a year, yet access to that capital is radically uneven. Nollywood — Nigeria's film industry — generates an estimated $6.4 billion annually and is Nigeria's second-largest employer after agriculture, but the overwhelming majority of its output is self-funded or financed informally, one relationship at a time, with almost no access to structured film finance, tax-credit schemes, or institutional co-production.</w:t>
      </w:r>
    </w:p>
    <w:p>
      <w:pPr>
        <w:spacing w:after="200" w:line="360"/>
        <w:jc w:val="left"/>
      </w:pPr>
      <w:r>
        <w:rPr>
          <w:rFonts w:ascii="Arial" w:cs="Arial" w:eastAsia="Arial" w:hAnsi="Arial"/>
          <w:b w:val="false"/>
          <w:bCs w:val="false"/>
          <w:i w:val="false"/>
          <w:iCs w:val="false"/>
          <w:sz w:val="36"/>
          <w:szCs w:val="36"/>
        </w:rPr>
        <w:t xml:space="preserve">This is not unique to Nigeria. Across emerging and even mature film markets, three structural failures repeat:</w:t>
      </w:r>
    </w:p>
    <w:p>
      <w:pPr>
        <w:pStyle w:val="ListParagraph"/>
        <w:numPr>
          <w:ilvl w:val="0"/>
          <w:numId w:val="2"/>
        </w:numPr>
        <w:spacing w:after="140" w:line="340"/>
      </w:pPr>
      <w:r>
        <w:rPr>
          <w:rFonts w:ascii="Arial" w:cs="Arial" w:eastAsia="Arial" w:hAnsi="Arial"/>
          <w:sz w:val="36"/>
          <w:szCs w:val="36"/>
        </w:rPr>
        <w:t xml:space="preserve">Producers have no standard way to present a project's fundability to a financier — every pitch starts from zero, with no shared scoring language.</w:t>
      </w:r>
    </w:p>
    <w:p>
      <w:pPr>
        <w:pStyle w:val="ListParagraph"/>
        <w:numPr>
          <w:ilvl w:val="0"/>
          <w:numId w:val="2"/>
        </w:numPr>
        <w:spacing w:after="140" w:line="340"/>
      </w:pPr>
      <w:r>
        <w:rPr>
          <w:rFonts w:ascii="Arial" w:cs="Arial" w:eastAsia="Arial" w:hAnsi="Arial"/>
          <w:sz w:val="36"/>
          <w:szCs w:val="36"/>
        </w:rPr>
        <w:t xml:space="preserve">Financiers, tax-credit bodies, streaming platforms, and grant-makers have no efficient way to discover vetted, bankable projects that match their mandate — deal flow is relationship-dependent and slow.</w:t>
      </w:r>
    </w:p>
    <w:p>
      <w:pPr>
        <w:pStyle w:val="ListParagraph"/>
        <w:numPr>
          <w:ilvl w:val="0"/>
          <w:numId w:val="2"/>
        </w:numPr>
        <w:spacing w:after="140" w:line="340"/>
      </w:pPr>
      <w:r>
        <w:rPr>
          <w:rFonts w:ascii="Arial" w:cs="Arial" w:eastAsia="Arial" w:hAnsi="Arial"/>
          <w:sz w:val="36"/>
          <w:szCs w:val="36"/>
        </w:rPr>
        <w:t xml:space="preserve">The financing models that do exist — pre-sale advances, gap financing, equity co-production, tax incentives, brand sponsorship, crowdfunding — are fragmented across dozens of institutions with no single place to compare fit.</w:t>
      </w:r>
    </w:p>
    <w:p>
      <w:pPr>
        <w:spacing w:after="200" w:line="360"/>
        <w:jc w:val="left"/>
      </w:pPr>
      <w:r>
        <w:rPr>
          <w:rFonts w:ascii="Arial" w:cs="Arial" w:eastAsia="Arial" w:hAnsi="Arial"/>
          <w:b w:val="false"/>
          <w:bCs w:val="false"/>
          <w:i w:val="false"/>
          <w:iCs w:val="false"/>
          <w:sz w:val="36"/>
          <w:szCs w:val="36"/>
        </w:rPr>
        <w:t xml:space="preserve">The result is a large, real economy of creative production that behaves like an informal market rather than a modern investable enterprise sector.</w:t>
      </w:r>
    </w:p>
    <w:p>
      <w:pPr>
        <w:pStyle w:val="Heading1"/>
        <w:spacing w:after="200" w:before="360"/>
      </w:pPr>
      <w:r>
        <w:rPr>
          <w:rFonts w:ascii="Arial" w:cs="Arial" w:eastAsia="Arial" w:hAnsi="Arial"/>
          <w:b/>
          <w:bCs/>
          <w:color w:val="0E2A47"/>
          <w:sz w:val="44"/>
          <w:szCs w:val="44"/>
        </w:rPr>
        <w:t xml:space="preserve">3. The CineLink Solution</w:t>
      </w:r>
    </w:p>
    <w:p>
      <w:pPr>
        <w:pStyle w:val="Heading2"/>
        <w:spacing w:after="160" w:before="280"/>
      </w:pPr>
      <w:r>
        <w:rPr>
          <w:rFonts w:ascii="Arial" w:cs="Arial" w:eastAsia="Arial" w:hAnsi="Arial"/>
          <w:b/>
          <w:bCs/>
          <w:color w:val="1B4B72"/>
          <w:sz w:val="32"/>
          <w:szCs w:val="32"/>
        </w:rPr>
        <w:t xml:space="preserve">3.1 The Bankability Score Engine</w:t>
      </w:r>
    </w:p>
    <w:p>
      <w:pPr>
        <w:spacing w:after="200" w:line="360"/>
        <w:jc w:val="left"/>
      </w:pPr>
      <w:r>
        <w:rPr>
          <w:rFonts w:ascii="Arial" w:cs="Arial" w:eastAsia="Arial" w:hAnsi="Arial"/>
          <w:b w:val="false"/>
          <w:bCs w:val="false"/>
          <w:i w:val="false"/>
          <w:iCs w:val="false"/>
          <w:sz w:val="36"/>
          <w:szCs w:val="36"/>
        </w:rPr>
        <w:t xml:space="preserve">Every project submitted to CineLink is scored out of 100 across four evidence-based sub-scores:</w:t>
      </w:r>
    </w:p>
    <w:p>
      <w:pPr>
        <w:pStyle w:val="ListParagraph"/>
        <w:numPr>
          <w:ilvl w:val="0"/>
          <w:numId w:val="2"/>
        </w:numPr>
        <w:spacing w:after="140" w:line="340"/>
      </w:pPr>
      <w:r>
        <w:rPr>
          <w:rFonts w:ascii="Arial" w:cs="Arial" w:eastAsia="Arial" w:hAnsi="Arial"/>
          <w:sz w:val="36"/>
          <w:szCs w:val="36"/>
        </w:rPr>
        <w:t xml:space="preserve">Script readiness (0-30) — concept/logline, treatment, full draft, or polished/verified script. A stronger script materially reduces production risk.</w:t>
      </w:r>
    </w:p>
    <w:p>
      <w:pPr>
        <w:pStyle w:val="ListParagraph"/>
        <w:numPr>
          <w:ilvl w:val="0"/>
          <w:numId w:val="2"/>
        </w:numPr>
        <w:spacing w:after="140" w:line="340"/>
      </w:pPr>
      <w:r>
        <w:rPr>
          <w:rFonts w:ascii="Arial" w:cs="Arial" w:eastAsia="Arial" w:hAnsi="Arial"/>
          <w:sz w:val="36"/>
          <w:szCs w:val="36"/>
        </w:rPr>
        <w:t xml:space="preserve">Team track record (0-25) — first-time creator through industry veteran, calibrated against realistic budget ceilings for each tier.</w:t>
      </w:r>
    </w:p>
    <w:p>
      <w:pPr>
        <w:pStyle w:val="ListParagraph"/>
        <w:numPr>
          <w:ilvl w:val="0"/>
          <w:numId w:val="2"/>
        </w:numPr>
        <w:spacing w:after="140" w:line="340"/>
      </w:pPr>
      <w:r>
        <w:rPr>
          <w:rFonts w:ascii="Arial" w:cs="Arial" w:eastAsia="Arial" w:hAnsi="Arial"/>
          <w:sz w:val="36"/>
          <w:szCs w:val="36"/>
        </w:rPr>
        <w:t xml:space="preserve">Budget realism (0-25) — the project's budget is checked against what is typical for the team's tier; overreach is flagged with a specific recommendation (e.g. attach name talent, bring on a veteran co-producer, or right-size the budget).</w:t>
      </w:r>
    </w:p>
    <w:p>
      <w:pPr>
        <w:pStyle w:val="ListParagraph"/>
        <w:numPr>
          <w:ilvl w:val="0"/>
          <w:numId w:val="2"/>
        </w:numPr>
        <w:spacing w:after="140" w:line="340"/>
      </w:pPr>
      <w:r>
        <w:rPr>
          <w:rFonts w:ascii="Arial" w:cs="Arial" w:eastAsia="Arial" w:hAnsi="Arial"/>
          <w:sz w:val="36"/>
          <w:szCs w:val="36"/>
        </w:rPr>
        <w:t xml:space="preserve">Market &amp; distribution potential (0-20) — scored by target market breadth (local, national, pan-regional, global) with a calibrated bonus for commercially proven genres.</w:t>
      </w:r>
    </w:p>
    <w:p>
      <w:pPr>
        <w:spacing w:after="200" w:line="360"/>
        <w:jc w:val="left"/>
      </w:pPr>
      <w:r>
        <w:rPr>
          <w:rFonts w:ascii="Arial" w:cs="Arial" w:eastAsia="Arial" w:hAnsi="Arial"/>
          <w:b w:val="false"/>
          <w:bCs w:val="false"/>
          <w:i w:val="false"/>
          <w:iCs w:val="false"/>
          <w:sz w:val="36"/>
          <w:szCs w:val="36"/>
        </w:rPr>
        <w:t xml:space="preserve">The resulting score places every project into one of four tiers — Concept Stage, Development-Ready, Investment-Ready, or Institutional-Ready — each with its own recommended financing pathway. This mirrors how a credit score works for a loan: one transparent number, built from named, auditable components, not a black box.</w:t>
      </w:r>
    </w:p>
    <w:p>
      <w:pPr>
        <w:pStyle w:val="Heading2"/>
        <w:spacing w:after="160" w:before="280"/>
      </w:pPr>
      <w:r>
        <w:rPr>
          <w:rFonts w:ascii="Arial" w:cs="Arial" w:eastAsia="Arial" w:hAnsi="Arial"/>
          <w:b/>
          <w:bCs/>
          <w:color w:val="1B4B72"/>
          <w:sz w:val="32"/>
          <w:szCs w:val="32"/>
        </w:rPr>
        <w:t xml:space="preserve">3.2 The Funding Match Engine</w:t>
      </w:r>
    </w:p>
    <w:p>
      <w:pPr>
        <w:spacing w:after="200" w:line="360"/>
        <w:jc w:val="left"/>
      </w:pPr>
      <w:r>
        <w:rPr>
          <w:rFonts w:ascii="Arial" w:cs="Arial" w:eastAsia="Arial" w:hAnsi="Arial"/>
          <w:b w:val="false"/>
          <w:bCs w:val="false"/>
          <w:i w:val="false"/>
          <w:iCs w:val="false"/>
          <w:sz w:val="36"/>
          <w:szCs w:val="36"/>
        </w:rPr>
        <w:t xml:space="preserve">Behind every score sits a real menu of financing models, matched automatically to the project's tier and target market:</w:t>
      </w:r>
    </w:p>
    <w:p>
      <w:pPr>
        <w:pStyle w:val="ListParagraph"/>
        <w:numPr>
          <w:ilvl w:val="0"/>
          <w:numId w:val="2"/>
        </w:numPr>
        <w:spacing w:after="140" w:line="340"/>
      </w:pPr>
      <w:r>
        <w:rPr>
          <w:rFonts w:ascii="Arial" w:cs="Arial" w:eastAsia="Arial" w:hAnsi="Arial"/>
          <w:sz w:val="36"/>
          <w:szCs w:val="36"/>
        </w:rPr>
        <w:t xml:space="preserve">Tax-Credit Financing — UK Film Tax Relief, Nigeria's incentive schemes, and Canada/Ireland credits depending on shoot location.</w:t>
      </w:r>
    </w:p>
    <w:p>
      <w:pPr>
        <w:pStyle w:val="ListParagraph"/>
        <w:numPr>
          <w:ilvl w:val="0"/>
          <w:numId w:val="2"/>
        </w:numPr>
        <w:spacing w:after="140" w:line="340"/>
      </w:pPr>
      <w:r>
        <w:rPr>
          <w:rFonts w:ascii="Arial" w:cs="Arial" w:eastAsia="Arial" w:hAnsi="Arial"/>
          <w:sz w:val="36"/>
          <w:szCs w:val="36"/>
        </w:rPr>
        <w:t xml:space="preserve">Equity Co-Production — treaty and non-treaty co-production partnerships that share cost and revenue.</w:t>
      </w:r>
    </w:p>
    <w:p>
      <w:pPr>
        <w:pStyle w:val="ListParagraph"/>
        <w:numPr>
          <w:ilvl w:val="0"/>
          <w:numId w:val="2"/>
        </w:numPr>
        <w:spacing w:after="140" w:line="340"/>
      </w:pPr>
      <w:r>
        <w:rPr>
          <w:rFonts w:ascii="Arial" w:cs="Arial" w:eastAsia="Arial" w:hAnsi="Arial"/>
          <w:sz w:val="36"/>
          <w:szCs w:val="36"/>
        </w:rPr>
        <w:t xml:space="preserve">Streaming Platform Pre-Sale / Originals Deals — direct commissioning or licensing to streaming platforms.</w:t>
      </w:r>
    </w:p>
    <w:p>
      <w:pPr>
        <w:pStyle w:val="ListParagraph"/>
        <w:numPr>
          <w:ilvl w:val="0"/>
          <w:numId w:val="2"/>
        </w:numPr>
        <w:spacing w:after="140" w:line="340"/>
      </w:pPr>
      <w:r>
        <w:rPr>
          <w:rFonts w:ascii="Arial" w:cs="Arial" w:eastAsia="Arial" w:hAnsi="Arial"/>
          <w:sz w:val="36"/>
          <w:szCs w:val="36"/>
        </w:rPr>
        <w:t xml:space="preserve">Gap Financing — short-term debt secured against confirmed pre-sales, closing the gap between committed and needed capital.</w:t>
      </w:r>
    </w:p>
    <w:p>
      <w:pPr>
        <w:pStyle w:val="ListParagraph"/>
        <w:numPr>
          <w:ilvl w:val="0"/>
          <w:numId w:val="2"/>
        </w:numPr>
        <w:spacing w:after="140" w:line="340"/>
      </w:pPr>
      <w:r>
        <w:rPr>
          <w:rFonts w:ascii="Arial" w:cs="Arial" w:eastAsia="Arial" w:hAnsi="Arial"/>
          <w:sz w:val="36"/>
          <w:szCs w:val="36"/>
        </w:rPr>
        <w:t xml:space="preserve">Distributor Pre-Sale Advances — upfront payment against future distribution revenue in a specific territory.</w:t>
      </w:r>
    </w:p>
    <w:p>
      <w:pPr>
        <w:pStyle w:val="ListParagraph"/>
        <w:numPr>
          <w:ilvl w:val="0"/>
          <w:numId w:val="2"/>
        </w:numPr>
        <w:spacing w:after="140" w:line="340"/>
      </w:pPr>
      <w:r>
        <w:rPr>
          <w:rFonts w:ascii="Arial" w:cs="Arial" w:eastAsia="Arial" w:hAnsi="Arial"/>
          <w:sz w:val="36"/>
          <w:szCs w:val="36"/>
        </w:rPr>
        <w:t xml:space="preserve">Brand &amp; Sponsorship Integration — commercial partners fund production in exchange for integrated placement.</w:t>
      </w:r>
    </w:p>
    <w:p>
      <w:pPr>
        <w:pStyle w:val="ListParagraph"/>
        <w:numPr>
          <w:ilvl w:val="0"/>
          <w:numId w:val="2"/>
        </w:numPr>
        <w:spacing w:after="140" w:line="340"/>
      </w:pPr>
      <w:r>
        <w:rPr>
          <w:rFonts w:ascii="Arial" w:cs="Arial" w:eastAsia="Arial" w:hAnsi="Arial"/>
          <w:sz w:val="36"/>
          <w:szCs w:val="36"/>
        </w:rPr>
        <w:t xml:space="preserve">Crowdfunding — audience-funded campaigns, most effective for development-stage or proof-of-concept projects.</w:t>
      </w:r>
    </w:p>
    <w:p>
      <w:pPr>
        <w:spacing w:after="200" w:line="360"/>
        <w:jc w:val="left"/>
      </w:pPr>
      <w:r>
        <w:rPr>
          <w:rFonts w:ascii="Arial" w:cs="Arial" w:eastAsia="Arial" w:hAnsi="Arial"/>
          <w:b w:val="false"/>
          <w:bCs w:val="false"/>
          <w:i w:val="false"/>
          <w:iCs w:val="false"/>
          <w:sz w:val="36"/>
          <w:szCs w:val="36"/>
        </w:rPr>
        <w:t xml:space="preserve">Each match is paired with a named, real shortlist of institutions to approach for the project's specific market — for example, Nigeria's NFVCB Film Fund, the Realness Institute development labs, MultiChoice Talent Factory, and Netflix Africa Originals for pan-African projects; or Eurimages, the British Film Institute, Sundance Institute, and Doha Film Institute for global projects.</w:t>
      </w:r>
    </w:p>
    <w:p>
      <w:pPr>
        <w:pStyle w:val="Heading2"/>
        <w:spacing w:after="160" w:before="280"/>
      </w:pPr>
      <w:r>
        <w:rPr>
          <w:rFonts w:ascii="Arial" w:cs="Arial" w:eastAsia="Arial" w:hAnsi="Arial"/>
          <w:b/>
          <w:bCs/>
          <w:color w:val="1B4B72"/>
          <w:sz w:val="32"/>
          <w:szCs w:val="32"/>
        </w:rPr>
        <w:t xml:space="preserve">3.3 Enterprise Tools</w:t>
      </w:r>
    </w:p>
    <w:p>
      <w:pPr>
        <w:spacing w:after="200" w:line="360"/>
        <w:jc w:val="left"/>
      </w:pPr>
      <w:r>
        <w:rPr>
          <w:rFonts w:ascii="Arial" w:cs="Arial" w:eastAsia="Arial" w:hAnsi="Arial"/>
          <w:b w:val="false"/>
          <w:bCs w:val="false"/>
          <w:i w:val="false"/>
          <w:iCs w:val="false"/>
          <w:sz w:val="36"/>
          <w:szCs w:val="36"/>
        </w:rPr>
        <w:t xml:space="preserve">Beyond scoring and matching, CineLink gives production companies the operating layer needed to run financing like a business: a pipeline dashboard across multiple projects, a verified "Bankability Certified" badge that builds investor trust, dedicated investor-facing pitch pages per project, co-production agreement / NDA / term-sheet templates, and warm introductions into CineLink's financier and distributor network.</w:t>
      </w:r>
    </w:p>
    <w:p>
      <w:pPr>
        <w:pStyle w:val="Heading1"/>
        <w:spacing w:after="200" w:before="360"/>
      </w:pPr>
      <w:r>
        <w:rPr>
          <w:rFonts w:ascii="Arial" w:cs="Arial" w:eastAsia="Arial" w:hAnsi="Arial"/>
          <w:b/>
          <w:bCs/>
          <w:color w:val="0E2A47"/>
          <w:sz w:val="44"/>
          <w:szCs w:val="44"/>
        </w:rPr>
        <w:t xml:space="preserve">4. Funding Sourcing Strategies &amp; Partnering Models</w:t>
      </w:r>
    </w:p>
    <w:p>
      <w:pPr>
        <w:spacing w:after="200" w:line="360"/>
        <w:jc w:val="left"/>
      </w:pPr>
      <w:r>
        <w:rPr>
          <w:rFonts w:ascii="Arial" w:cs="Arial" w:eastAsia="Arial" w:hAnsi="Arial"/>
          <w:b w:val="false"/>
          <w:bCs w:val="false"/>
          <w:i w:val="false"/>
          <w:iCs w:val="false"/>
          <w:sz w:val="36"/>
          <w:szCs w:val="36"/>
        </w:rPr>
        <w:t xml:space="preserve">CineLink's matching logic is built on real, currently active funding pathways in the film and drama industry, organized by partnering model:</w:t>
      </w:r>
    </w:p>
    <w:p>
      <w:pPr>
        <w:pStyle w:val="ListParagraph"/>
        <w:numPr>
          <w:ilvl w:val="0"/>
          <w:numId w:val="2"/>
        </w:numPr>
        <w:spacing w:after="140" w:line="340"/>
      </w:pPr>
      <w:r>
        <w:rPr>
          <w:rFonts w:ascii="Arial" w:cs="Arial" w:eastAsia="Arial" w:hAnsi="Arial"/>
          <w:sz w:val="36"/>
          <w:szCs w:val="36"/>
        </w:rPr>
        <w:t xml:space="preserve">Grants &amp; Development Funding — Sundance Institute Documentary &amp; Feature Film Fund, Doha Film Institute grants, Ford Foundation JustFilms, Realness Institute development labs, national/regional arts council production grants, and — in West Africa specifically — Nigeria's NFVCB Film Fund and AFDB/Africa Creative Market initiatives.</w:t>
      </w:r>
    </w:p>
    <w:p>
      <w:pPr>
        <w:pStyle w:val="ListParagraph"/>
        <w:numPr>
          <w:ilvl w:val="0"/>
          <w:numId w:val="2"/>
        </w:numPr>
        <w:spacing w:after="140" w:line="340"/>
      </w:pPr>
      <w:r>
        <w:rPr>
          <w:rFonts w:ascii="Arial" w:cs="Arial" w:eastAsia="Arial" w:hAnsi="Arial"/>
          <w:sz w:val="36"/>
          <w:szCs w:val="36"/>
        </w:rPr>
        <w:t xml:space="preserve">Tax-Credit &amp; Rebate Financing — production-location tax incentives (UK Film Tax Relief, Nigeria incentive schemes, Canada, Ireland) that return a meaningful percentage of qualifying local spend, often used to underpin gap-financing loans.</w:t>
      </w:r>
    </w:p>
    <w:p>
      <w:pPr>
        <w:pStyle w:val="ListParagraph"/>
        <w:numPr>
          <w:ilvl w:val="0"/>
          <w:numId w:val="2"/>
        </w:numPr>
        <w:spacing w:after="140" w:line="340"/>
      </w:pPr>
      <w:r>
        <w:rPr>
          <w:rFonts w:ascii="Arial" w:cs="Arial" w:eastAsia="Arial" w:hAnsi="Arial"/>
          <w:sz w:val="36"/>
          <w:szCs w:val="36"/>
        </w:rPr>
        <w:t xml:space="preserve">Pre-Sale &amp; Distribution Advances — a distributor commits to a territory in advance and pays part of that fee upfront, giving the production working capital before release.</w:t>
      </w:r>
    </w:p>
    <w:p>
      <w:pPr>
        <w:pStyle w:val="ListParagraph"/>
        <w:numPr>
          <w:ilvl w:val="0"/>
          <w:numId w:val="2"/>
        </w:numPr>
        <w:spacing w:after="140" w:line="340"/>
      </w:pPr>
      <w:r>
        <w:rPr>
          <w:rFonts w:ascii="Arial" w:cs="Arial" w:eastAsia="Arial" w:hAnsi="Arial"/>
          <w:sz w:val="36"/>
          <w:szCs w:val="36"/>
        </w:rPr>
        <w:t xml:space="preserve">Gap Financing — a specialist lender advances the difference between committed pre-sales/tax credits and the full budget, secured against those same contracts.</w:t>
      </w:r>
    </w:p>
    <w:p>
      <w:pPr>
        <w:pStyle w:val="ListParagraph"/>
        <w:numPr>
          <w:ilvl w:val="0"/>
          <w:numId w:val="2"/>
        </w:numPr>
        <w:spacing w:after="140" w:line="340"/>
      </w:pPr>
      <w:r>
        <w:rPr>
          <w:rFonts w:ascii="Arial" w:cs="Arial" w:eastAsia="Arial" w:hAnsi="Arial"/>
          <w:sz w:val="36"/>
          <w:szCs w:val="36"/>
        </w:rPr>
        <w:t xml:space="preserve">Equity Co-Production — one or more production companies (often across countries, sometimes under formal co-production treaties) jointly finance and own the project, sharing cost, creative control, and revenue.</w:t>
      </w:r>
    </w:p>
    <w:p>
      <w:pPr>
        <w:pStyle w:val="ListParagraph"/>
        <w:numPr>
          <w:ilvl w:val="0"/>
          <w:numId w:val="2"/>
        </w:numPr>
        <w:spacing w:after="140" w:line="340"/>
      </w:pPr>
      <w:r>
        <w:rPr>
          <w:rFonts w:ascii="Arial" w:cs="Arial" w:eastAsia="Arial" w:hAnsi="Arial"/>
          <w:sz w:val="36"/>
          <w:szCs w:val="36"/>
        </w:rPr>
        <w:t xml:space="preserve">Streaming &amp; Broadcaster Originals Deals — a platform or broadcaster commissions or licenses the project directly, most often for series and premium single titles (Netflix, Amazon Studios, MultiChoice/Showmax, EbonyLife/Netflix Africa Originals).</w:t>
      </w:r>
    </w:p>
    <w:p>
      <w:pPr>
        <w:pStyle w:val="ListParagraph"/>
        <w:numPr>
          <w:ilvl w:val="0"/>
          <w:numId w:val="2"/>
        </w:numPr>
        <w:spacing w:after="140" w:line="340"/>
      </w:pPr>
      <w:r>
        <w:rPr>
          <w:rFonts w:ascii="Arial" w:cs="Arial" w:eastAsia="Arial" w:hAnsi="Arial"/>
          <w:sz w:val="36"/>
          <w:szCs w:val="36"/>
        </w:rPr>
        <w:t xml:space="preserve">Brand &amp; Sponsorship Integration — a commercial brand funds part of the budget in exchange for authentic, contractually defined integration — increasingly common for premium drama and unscripted formats.</w:t>
      </w:r>
    </w:p>
    <w:p>
      <w:pPr>
        <w:pStyle w:val="ListParagraph"/>
        <w:numPr>
          <w:ilvl w:val="0"/>
          <w:numId w:val="2"/>
        </w:numPr>
        <w:spacing w:after="140" w:line="340"/>
      </w:pPr>
      <w:r>
        <w:rPr>
          <w:rFonts w:ascii="Arial" w:cs="Arial" w:eastAsia="Arial" w:hAnsi="Arial"/>
          <w:sz w:val="36"/>
          <w:szCs w:val="36"/>
        </w:rPr>
        <w:t xml:space="preserve">Crowdfunding &amp; Community Financing — platforms such as Seed&amp;Spark and Kickstarter, or regional equivalents, used most effectively to fund development-stage proof-of-concept work or to demonstrate audience demand ahead of a larger raise.</w:t>
      </w:r>
    </w:p>
    <w:p>
      <w:pPr>
        <w:spacing w:after="200" w:line="360"/>
        <w:jc w:val="left"/>
      </w:pPr>
      <w:r>
        <w:rPr>
          <w:rFonts w:ascii="Arial" w:cs="Arial" w:eastAsia="Arial" w:hAnsi="Arial"/>
          <w:b w:val="false"/>
          <w:bCs w:val="false"/>
          <w:i w:val="false"/>
          <w:iCs w:val="false"/>
          <w:sz w:val="36"/>
          <w:szCs w:val="36"/>
        </w:rPr>
        <w:t xml:space="preserve">CineLink's role is not to be a financier itself in the first instance, but the structured discovery and matching layer that connects the right project to the right combination of these models — the same function a good sales agent or financing consultant performs today, but instantly, transparently, and at scale.</w:t>
      </w:r>
    </w:p>
    <w:p>
      <w:pPr>
        <w:pStyle w:val="Heading1"/>
        <w:spacing w:after="200" w:before="360"/>
      </w:pPr>
      <w:r>
        <w:rPr>
          <w:rFonts w:ascii="Arial" w:cs="Arial" w:eastAsia="Arial" w:hAnsi="Arial"/>
          <w:b/>
          <w:bCs/>
          <w:color w:val="0E2A47"/>
          <w:sz w:val="44"/>
          <w:szCs w:val="44"/>
        </w:rPr>
        <w:t xml:space="preserve">5. Business Model</w:t>
      </w:r>
    </w:p>
    <w:p>
      <w:pPr>
        <w:spacing w:after="200" w:line="360"/>
        <w:jc w:val="left"/>
      </w:pPr>
      <w:r>
        <w:rPr>
          <w:rFonts w:ascii="Arial" w:cs="Arial" w:eastAsia="Arial" w:hAnsi="Arial"/>
          <w:b w:val="false"/>
          <w:bCs w:val="false"/>
          <w:i w:val="false"/>
          <w:iCs w:val="false"/>
          <w:sz w:val="36"/>
          <w:szCs w:val="36"/>
        </w:rPr>
        <w:t xml:space="preserve">Assumptions and definitions used in the table below: "Creator" refers to an individual filmmaker/playwright account; "Studio" refers to a production-company account; "Success fee" is charged only on capital actually raised through a deal that closed via CineLink introductions — never on capital raised independently, and never upfront. All figures are illustrative estimates for planning purposes, not guaranteed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1B4B72"/>
            <w:vAlign w:val="center"/>
          </w:tcPr>
          <w:p>
            <w:r>
              <w:rPr>
                <w:rFonts w:ascii="Arial" w:cs="Arial" w:eastAsia="Arial" w:hAnsi="Arial"/>
                <w:b/>
                <w:bCs/>
                <w:color w:val="FFFFFF"/>
                <w:sz w:val="32"/>
                <w:szCs w:val="32"/>
              </w:rPr>
              <w:t xml:space="preserve">Tier</w:t>
            </w:r>
          </w:p>
        </w:tc>
        <w:tc>
          <w:tcPr>
            <w:tcW w:type="pct" w:w="26%"/>
            <w:shd w:fill="1B4B72"/>
            <w:vAlign w:val="center"/>
          </w:tcPr>
          <w:p>
            <w:r>
              <w:rPr>
                <w:rFonts w:ascii="Arial" w:cs="Arial" w:eastAsia="Arial" w:hAnsi="Arial"/>
                <w:b/>
                <w:bCs/>
                <w:color w:val="FFFFFF"/>
                <w:sz w:val="32"/>
                <w:szCs w:val="32"/>
              </w:rPr>
              <w:t xml:space="preserve">Price</w:t>
            </w:r>
          </w:p>
        </w:tc>
        <w:tc>
          <w:tcPr>
            <w:tcW w:type="pct" w:w="52%"/>
            <w:shd w:fill="1B4B72"/>
            <w:vAlign w:val="center"/>
          </w:tcPr>
          <w:p>
            <w:r>
              <w:rPr>
                <w:rFonts w:ascii="Arial" w:cs="Arial" w:eastAsia="Arial" w:hAnsi="Arial"/>
                <w:b/>
                <w:bCs/>
                <w:color w:val="FFFFFF"/>
                <w:sz w:val="32"/>
                <w:szCs w:val="32"/>
              </w:rPr>
              <w:t xml:space="preserve">Includes</w:t>
            </w:r>
          </w:p>
        </w:tc>
      </w:tr>
      <w:tr>
        <w:tc>
          <w:tcPr>
            <w:tcW w:type="pct" w:w="25%"/>
            <w:vAlign w:val="center"/>
          </w:tcPr>
          <w:p>
            <w:r>
              <w:rPr>
                <w:rFonts w:ascii="Arial" w:cs="Arial" w:eastAsia="Arial" w:hAnsi="Arial"/>
                <w:b w:val="false"/>
                <w:bCs w:val="false"/>
                <w:color w:val="000000"/>
                <w:sz w:val="32"/>
                <w:szCs w:val="32"/>
              </w:rPr>
              <w:t xml:space="preserve">Creator</w:t>
            </w:r>
          </w:p>
        </w:tc>
        <w:tc>
          <w:tcPr>
            <w:tcW w:type="pct" w:w="25%"/>
            <w:vAlign w:val="center"/>
          </w:tcPr>
          <w:p>
            <w:r>
              <w:rPr>
                <w:rFonts w:ascii="Arial" w:cs="Arial" w:eastAsia="Arial" w:hAnsi="Arial"/>
                <w:b w:val="false"/>
                <w:bCs w:val="false"/>
                <w:color w:val="000000"/>
                <w:sz w:val="32"/>
                <w:szCs w:val="32"/>
              </w:rPr>
              <w:t xml:space="preserve">$0/month</w:t>
            </w:r>
          </w:p>
        </w:tc>
        <w:tc>
          <w:tcPr>
            <w:tcW w:type="pct" w:w="25%"/>
            <w:vAlign w:val="center"/>
          </w:tcPr>
          <w:p>
            <w:r>
              <w:rPr>
                <w:rFonts w:ascii="Arial" w:cs="Arial" w:eastAsia="Arial" w:hAnsi="Arial"/>
                <w:b w:val="false"/>
                <w:bCs w:val="false"/>
                <w:color w:val="000000"/>
                <w:sz w:val="32"/>
                <w:szCs w:val="32"/>
              </w:rPr>
              <w:t xml:space="preserve">Unlimited scoring &amp; matching, up to 2 active project listings, public funding-source directory</w:t>
            </w:r>
          </w:p>
        </w:tc>
      </w:tr>
      <w:tr>
        <w:tc>
          <w:tcPr>
            <w:tcW w:type="pct" w:w="25%"/>
            <w:vAlign w:val="center"/>
          </w:tcPr>
          <w:p>
            <w:r>
              <w:rPr>
                <w:rFonts w:ascii="Arial" w:cs="Arial" w:eastAsia="Arial" w:hAnsi="Arial"/>
                <w:b w:val="false"/>
                <w:bCs w:val="false"/>
                <w:color w:val="000000"/>
                <w:sz w:val="32"/>
                <w:szCs w:val="32"/>
              </w:rPr>
              <w:t xml:space="preserve">Studio</w:t>
            </w:r>
          </w:p>
        </w:tc>
        <w:tc>
          <w:tcPr>
            <w:tcW w:type="pct" w:w="25%"/>
            <w:vAlign w:val="center"/>
          </w:tcPr>
          <w:p>
            <w:r>
              <w:rPr>
                <w:rFonts w:ascii="Arial" w:cs="Arial" w:eastAsia="Arial" w:hAnsi="Arial"/>
                <w:b w:val="false"/>
                <w:bCs w:val="false"/>
                <w:color w:val="000000"/>
                <w:sz w:val="32"/>
                <w:szCs w:val="32"/>
              </w:rPr>
              <w:t xml:space="preserve">from $49/month</w:t>
            </w:r>
          </w:p>
        </w:tc>
        <w:tc>
          <w:tcPr>
            <w:tcW w:type="pct" w:w="25%"/>
            <w:vAlign w:val="center"/>
          </w:tcPr>
          <w:p>
            <w:r>
              <w:rPr>
                <w:rFonts w:ascii="Arial" w:cs="Arial" w:eastAsia="Arial" w:hAnsi="Arial"/>
                <w:b w:val="false"/>
                <w:bCs w:val="false"/>
                <w:color w:val="000000"/>
                <w:sz w:val="32"/>
                <w:szCs w:val="32"/>
              </w:rPr>
              <w:t xml:space="preserve">Unlimited listings, pipeline dashboard, verified badge, warm introductions, contract templates</w:t>
            </w:r>
          </w:p>
        </w:tc>
      </w:tr>
      <w:tr>
        <w:tc>
          <w:tcPr>
            <w:tcW w:type="pct" w:w="25%"/>
            <w:vAlign w:val="center"/>
          </w:tcPr>
          <w:p>
            <w:r>
              <w:rPr>
                <w:rFonts w:ascii="Arial" w:cs="Arial" w:eastAsia="Arial" w:hAnsi="Arial"/>
                <w:b w:val="false"/>
                <w:bCs w:val="false"/>
                <w:color w:val="000000"/>
                <w:sz w:val="32"/>
                <w:szCs w:val="32"/>
              </w:rPr>
              <w:t xml:space="preserve">Success Fee</w:t>
            </w:r>
          </w:p>
        </w:tc>
        <w:tc>
          <w:tcPr>
            <w:tcW w:type="pct" w:w="25%"/>
            <w:vAlign w:val="center"/>
          </w:tcPr>
          <w:p>
            <w:r>
              <w:rPr>
                <w:rFonts w:ascii="Arial" w:cs="Arial" w:eastAsia="Arial" w:hAnsi="Arial"/>
                <w:b w:val="false"/>
                <w:bCs w:val="false"/>
                <w:color w:val="000000"/>
                <w:sz w:val="32"/>
                <w:szCs w:val="32"/>
              </w:rPr>
              <w:t xml:space="preserve">4% of capital raised</w:t>
            </w:r>
          </w:p>
        </w:tc>
        <w:tc>
          <w:tcPr>
            <w:tcW w:type="pct" w:w="25%"/>
            <w:vAlign w:val="center"/>
          </w:tcPr>
          <w:p>
            <w:r>
              <w:rPr>
                <w:rFonts w:ascii="Arial" w:cs="Arial" w:eastAsia="Arial" w:hAnsi="Arial"/>
                <w:b w:val="false"/>
                <w:bCs w:val="false"/>
                <w:color w:val="000000"/>
                <w:sz w:val="32"/>
                <w:szCs w:val="32"/>
              </w:rPr>
              <w:t xml:space="preserve">Charged only when a deal closes through the platform — never upfront, never on independently-raised capital</w:t>
            </w:r>
          </w:p>
        </w:tc>
      </w:tr>
      <w:tr>
        <w:tc>
          <w:tcPr>
            <w:tcW w:type="pct" w:w="25%"/>
            <w:vAlign w:val="center"/>
          </w:tcPr>
          <w:p>
            <w:r>
              <w:rPr>
                <w:rFonts w:ascii="Arial" w:cs="Arial" w:eastAsia="Arial" w:hAnsi="Arial"/>
                <w:b w:val="false"/>
                <w:bCs w:val="false"/>
                <w:color w:val="000000"/>
                <w:sz w:val="32"/>
                <w:szCs w:val="32"/>
              </w:rPr>
              <w:t xml:space="preserve">Agency/Fund API</w:t>
            </w:r>
          </w:p>
        </w:tc>
        <w:tc>
          <w:tcPr>
            <w:tcW w:type="pct" w:w="25%"/>
            <w:vAlign w:val="center"/>
          </w:tcPr>
          <w:p>
            <w:r>
              <w:rPr>
                <w:rFonts w:ascii="Arial" w:cs="Arial" w:eastAsia="Arial" w:hAnsi="Arial"/>
                <w:b w:val="false"/>
                <w:bCs w:val="false"/>
                <w:color w:val="000000"/>
                <w:sz w:val="32"/>
                <w:szCs w:val="32"/>
              </w:rPr>
              <w:t xml:space="preserve">Custom</w:t>
            </w:r>
          </w:p>
        </w:tc>
        <w:tc>
          <w:tcPr>
            <w:tcW w:type="pct" w:w="25%"/>
            <w:vAlign w:val="center"/>
          </w:tcPr>
          <w:p>
            <w:r>
              <w:rPr>
                <w:rFonts w:ascii="Arial" w:cs="Arial" w:eastAsia="Arial" w:hAnsi="Arial"/>
                <w:b w:val="false"/>
                <w:bCs w:val="false"/>
                <w:color w:val="000000"/>
                <w:sz w:val="32"/>
                <w:szCs w:val="32"/>
              </w:rPr>
              <w:t xml:space="preserve">Bulk pipeline access for financiers, tax-credit bodies, and grant-makers screening inbound deal flow</w:t>
            </w:r>
          </w:p>
        </w:tc>
      </w:tr>
    </w:tbl>
    <w:p>
      <w:pPr>
        <w:spacing w:after="200" w:line="360"/>
        <w:jc w:val="left"/>
      </w:pPr>
      <w:r>
        <w:rPr>
          <w:rFonts w:ascii="Arial" w:cs="Arial" w:eastAsia="Arial" w:hAnsi="Arial"/>
          <w:b w:val="false"/>
          <w:bCs w:val="false"/>
          <w:i w:val="false"/>
          <w:iCs w:val="false"/>
          <w:sz w:val="36"/>
          <w:szCs w:val="36"/>
        </w:rPr>
        <w:t xml:space="preserve"> </w:t>
      </w:r>
    </w:p>
    <w:p>
      <w:pPr>
        <w:spacing w:after="200" w:line="360"/>
        <w:jc w:val="left"/>
      </w:pPr>
      <w:r>
        <w:rPr>
          <w:rFonts w:ascii="Arial" w:cs="Arial" w:eastAsia="Arial" w:hAnsi="Arial"/>
          <w:b w:val="false"/>
          <w:bCs w:val="false"/>
          <w:i w:val="false"/>
          <w:iCs w:val="false"/>
          <w:sz w:val="36"/>
          <w:szCs w:val="36"/>
        </w:rPr>
        <w:t xml:space="preserve">This mirrors the model already proven inside the BETONIQ WEST LTD portfolio with BETONIQ INVEST (real estate feasibility &amp; investor matching): free access to the core scoring/matching tool to maximize project-side adoption and data quality, paid enterprise tools for the organizations that need to manage a pipeline, and a success fee that only earns revenue when a creator actually gets funded.</w:t>
      </w:r>
    </w:p>
    <w:p>
      <w:pPr>
        <w:pStyle w:val="Heading1"/>
        <w:spacing w:after="200" w:before="360"/>
      </w:pPr>
      <w:r>
        <w:rPr>
          <w:rFonts w:ascii="Arial" w:cs="Arial" w:eastAsia="Arial" w:hAnsi="Arial"/>
          <w:b/>
          <w:bCs/>
          <w:color w:val="0E2A47"/>
          <w:sz w:val="44"/>
          <w:szCs w:val="44"/>
        </w:rPr>
        <w:t xml:space="preserve">6. Market Opportunity</w:t>
      </w:r>
    </w:p>
    <w:p>
      <w:pPr>
        <w:spacing w:after="200" w:line="360"/>
        <w:jc w:val="left"/>
      </w:pPr>
      <w:r>
        <w:rPr>
          <w:rFonts w:ascii="Arial" w:cs="Arial" w:eastAsia="Arial" w:hAnsi="Arial"/>
          <w:b w:val="false"/>
          <w:bCs w:val="false"/>
          <w:i w:val="false"/>
          <w:iCs w:val="false"/>
          <w:sz w:val="36"/>
          <w:szCs w:val="36"/>
        </w:rPr>
        <w:t xml:space="preserve">The global film and television financing gap is estimated in the tens of billions of dollars annually, disproportionately affecting emerging markets where institutional financing infrastructure is thin or absent. CineLink's initial beachhead is Nollywood and the wider West African screen industry — a market producing thousands of titles a year with almost no structured financing layer — before expanding to the global independent film and stage-drama market, where the same fragmentation exists at a smaller but still significant scale.</w:t>
      </w:r>
    </w:p>
    <w:p>
      <w:pPr>
        <w:pStyle w:val="Heading1"/>
        <w:spacing w:after="200" w:before="360"/>
      </w:pPr>
      <w:r>
        <w:rPr>
          <w:rFonts w:ascii="Arial" w:cs="Arial" w:eastAsia="Arial" w:hAnsi="Arial"/>
          <w:b/>
          <w:bCs/>
          <w:color w:val="0E2A47"/>
          <w:sz w:val="44"/>
          <w:szCs w:val="44"/>
        </w:rPr>
        <w:t xml:space="preserve">7. Technology &amp; Platform Architecture</w:t>
      </w:r>
    </w:p>
    <w:p>
      <w:pPr>
        <w:spacing w:after="200" w:line="360"/>
        <w:jc w:val="left"/>
      </w:pPr>
      <w:r>
        <w:rPr>
          <w:rFonts w:ascii="Arial" w:cs="Arial" w:eastAsia="Arial" w:hAnsi="Arial"/>
          <w:b w:val="false"/>
          <w:bCs w:val="false"/>
          <w:i w:val="false"/>
          <w:iCs w:val="false"/>
          <w:sz w:val="36"/>
          <w:szCs w:val="36"/>
        </w:rPr>
        <w:t xml:space="preserve">The current build is a browser-based, GitHub-hosted interactive demo: a deterministic scoring and matching engine (no black-box AI dependency for the core score, ensuring every result is explainable and auditable), an 8-scene animated and narrated walkthrough, and a Three.js-rendered 3D hero visualization. The production roadmap adds a persistent project database, a financier/co-production-partner directory with verified profiles, secure document exchange for term sheets and NDAs, and API access for tax-credit bodies and grant-makers who want to screen inbound deal flow at scale.</w:t>
      </w:r>
    </w:p>
    <w:p>
      <w:pPr>
        <w:pStyle w:val="Heading1"/>
        <w:spacing w:after="200" w:before="360"/>
      </w:pPr>
      <w:r>
        <w:rPr>
          <w:rFonts w:ascii="Arial" w:cs="Arial" w:eastAsia="Arial" w:hAnsi="Arial"/>
          <w:b/>
          <w:bCs/>
          <w:color w:val="0E2A47"/>
          <w:sz w:val="44"/>
          <w:szCs w:val="44"/>
        </w:rPr>
        <w:t xml:space="preserve">8. Roadmap</w:t>
      </w:r>
    </w:p>
    <w:p>
      <w:pPr>
        <w:pStyle w:val="ListParagraph"/>
        <w:numPr>
          <w:ilvl w:val="0"/>
          <w:numId w:val="2"/>
        </w:numPr>
        <w:spacing w:after="140" w:line="340"/>
      </w:pPr>
      <w:r>
        <w:rPr>
          <w:rFonts w:ascii="Arial" w:cs="Arial" w:eastAsia="Arial" w:hAnsi="Arial"/>
          <w:sz w:val="36"/>
          <w:szCs w:val="36"/>
        </w:rPr>
        <w:t xml:space="preserve">Phase 1 (Months 1-3): Public beta of the Bankability Score engine and funding-source directory across Nigeria and West Africa; onboard first cohort of Studio-tier production companies.</w:t>
      </w:r>
    </w:p>
    <w:p>
      <w:pPr>
        <w:pStyle w:val="ListParagraph"/>
        <w:numPr>
          <w:ilvl w:val="0"/>
          <w:numId w:val="2"/>
        </w:numPr>
        <w:spacing w:after="140" w:line="340"/>
      </w:pPr>
      <w:r>
        <w:rPr>
          <w:rFonts w:ascii="Arial" w:cs="Arial" w:eastAsia="Arial" w:hAnsi="Arial"/>
          <w:sz w:val="36"/>
          <w:szCs w:val="36"/>
        </w:rPr>
        <w:t xml:space="preserve">Phase 2 (Months 4-8): Launch the verified financier/co-production-partner network and warm-introduction flow; sign first tax-credit body / grant-maker API pilot.</w:t>
      </w:r>
    </w:p>
    <w:p>
      <w:pPr>
        <w:pStyle w:val="ListParagraph"/>
        <w:numPr>
          <w:ilvl w:val="0"/>
          <w:numId w:val="2"/>
        </w:numPr>
        <w:spacing w:after="140" w:line="340"/>
      </w:pPr>
      <w:r>
        <w:rPr>
          <w:rFonts w:ascii="Arial" w:cs="Arial" w:eastAsia="Arial" w:hAnsi="Arial"/>
          <w:sz w:val="36"/>
          <w:szCs w:val="36"/>
        </w:rPr>
        <w:t xml:space="preserve">Phase 3 (Months 9-12): Expand target market matching to global financing sources; introduce secure document exchange for closing deals end-to-end on the platform.</w:t>
      </w:r>
    </w:p>
    <w:p>
      <w:pPr>
        <w:pStyle w:val="Heading1"/>
        <w:spacing w:after="200" w:before="360"/>
      </w:pPr>
      <w:r>
        <w:rPr>
          <w:rFonts w:ascii="Arial" w:cs="Arial" w:eastAsia="Arial" w:hAnsi="Arial"/>
          <w:b/>
          <w:bCs/>
          <w:color w:val="0E2A47"/>
          <w:sz w:val="44"/>
          <w:szCs w:val="44"/>
        </w:rPr>
        <w:t xml:space="preserve">9. Team</w:t>
      </w:r>
    </w:p>
    <w:p>
      <w:pPr>
        <w:spacing w:after="200" w:line="360"/>
        <w:jc w:val="left"/>
      </w:pPr>
      <w:r>
        <w:rPr>
          <w:rFonts w:ascii="Arial" w:cs="Arial" w:eastAsia="Arial" w:hAnsi="Arial"/>
          <w:b w:val="false"/>
          <w:bCs w:val="false"/>
          <w:i w:val="false"/>
          <w:iCs w:val="false"/>
          <w:sz w:val="36"/>
          <w:szCs w:val="36"/>
        </w:rPr>
        <w:t xml:space="preserve">Tom Ugbodaga — Shareholder &amp; CEO, BETONIQ WEST LTD. MSc Computer Systems Security (University of Gloucestershire, England, 2011). Tom leads the BETONIQ WEST LTD portfolio, including CineLink, BETONIQ INVEST, and ZerôPâŷ Money, and has built each platform's core matching and scoring logic personally. Full professional background available on LinkedIn.</w:t>
      </w:r>
    </w:p>
    <w:p>
      <w:pPr>
        <w:pStyle w:val="Heading1"/>
        <w:spacing w:after="200" w:before="360"/>
      </w:pPr>
      <w:r>
        <w:rPr>
          <w:rFonts w:ascii="Arial" w:cs="Arial" w:eastAsia="Arial" w:hAnsi="Arial"/>
          <w:b/>
          <w:bCs/>
          <w:color w:val="0E2A47"/>
          <w:sz w:val="44"/>
          <w:szCs w:val="44"/>
        </w:rPr>
        <w:t xml:space="preserve">10. Grant Fit</w:t>
      </w:r>
    </w:p>
    <w:p>
      <w:pPr>
        <w:spacing w:after="200" w:line="360"/>
        <w:jc w:val="left"/>
      </w:pPr>
      <w:r>
        <w:rPr>
          <w:rFonts w:ascii="Arial" w:cs="Arial" w:eastAsia="Arial" w:hAnsi="Arial"/>
          <w:b w:val="false"/>
          <w:bCs w:val="false"/>
          <w:i w:val="false"/>
          <w:iCs w:val="false"/>
          <w:sz w:val="36"/>
          <w:szCs w:val="36"/>
        </w:rPr>
        <w:t xml:space="preserve">CineLink is a strong fit for creative-economy and cultural-financing programs, including UNESCO's International Fund for Cultural Diversity, Ford Foundation JustFilms, Doha Film Institute grants, British Council Creative Economy programs, AFDB/Africa Creative Market initiatives, and national film commission co-funding schemes.</w:t>
      </w:r>
    </w:p>
    <w:p>
      <w:pPr>
        <w:pStyle w:val="Heading1"/>
        <w:spacing w:after="200" w:before="360"/>
      </w:pPr>
      <w:r>
        <w:rPr>
          <w:rFonts w:ascii="Arial" w:cs="Arial" w:eastAsia="Arial" w:hAnsi="Arial"/>
          <w:b/>
          <w:bCs/>
          <w:color w:val="0E2A47"/>
          <w:sz w:val="44"/>
          <w:szCs w:val="44"/>
        </w:rPr>
        <w:t xml:space="preserve">11. The Ask</w:t>
      </w:r>
    </w:p>
    <w:p>
      <w:pPr>
        <w:spacing w:after="200" w:line="360"/>
        <w:jc w:val="left"/>
      </w:pPr>
      <w:r>
        <w:rPr>
          <w:rFonts w:ascii="Arial" w:cs="Arial" w:eastAsia="Arial" w:hAnsi="Arial"/>
          <w:b w:val="false"/>
          <w:bCs w:val="false"/>
          <w:i w:val="false"/>
          <w:iCs w:val="false"/>
          <w:sz w:val="36"/>
          <w:szCs w:val="36"/>
        </w:rPr>
        <w:t xml:space="preserve">BETONIQ WEST LTD is seeking $250,000 to launch the Bankability Score engine, funding-source directory, and financier network public beta across Nigeria and West Africa over 12 months. This is a standalone ask specific to CineLink, alongside — not in place of — BETONIQ WEST LTD's existing funding tracks for ZerôPâŷ Money and BETONIQ INVEST.</w:t>
      </w:r>
    </w:p>
    <w:p>
      <w:pPr>
        <w:spacing w:before="400"/>
      </w:pPr>
      <w:r>
        <w:rPr>
          <w:rFonts w:ascii="Arial" w:cs="Arial" w:eastAsia="Arial" w:hAnsi="Arial"/>
          <w:i/>
          <w:iCs/>
          <w:color w:val="888888"/>
          <w:sz w:val="22"/>
          <w:szCs w:val="22"/>
        </w:rPr>
        <w:t xml:space="preserve">BETONIQ WEST LTD (RC 1496603) · CineLink is a GitHub-hosted, independently deployed platform · Contact: zeropointfeild_nonwnt@zeropay.site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20"/>
        <w:szCs w:val="20"/>
      </w:rPr>
      <w:t xml:space="preserve">CineLink White Paper — BETONIQ WEST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36"/>
        <w:szCs w:val="3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2026-09-06T07:46:41.364Z</dcterms:created>
  <dcterms:modified xsi:type="dcterms:W3CDTF">2026-09-06T07:46:41.372Z</dcterms:modified>
</cp:coreProperties>
</file>

<file path=docProps/custom.xml><?xml version="1.0" encoding="utf-8"?>
<Properties xmlns="http://schemas.openxmlformats.org/officeDocument/2006/custom-properties" xmlns:vt="http://schemas.openxmlformats.org/officeDocument/2006/docPropsVTypes"/>
</file>