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Calibri" w:hAnsi="Calibri"/>
          <w:b/>
          <w:color w:val="B8860B"/>
          <w:sz w:val="24"/>
        </w:rPr>
        <w:t>PRIVATE &amp; CONFIDENTIAL</w:t>
      </w:r>
    </w:p>
    <w:p>
      <w:pPr>
        <w:spacing w:after="40"/>
        <w:jc w:val="center"/>
      </w:pPr>
      <w:r>
        <w:rPr>
          <w:rFonts w:ascii="Calibri" w:hAnsi="Calibri"/>
          <w:b/>
          <w:color w:val="0F172A"/>
          <w:sz w:val="44"/>
        </w:rPr>
        <w:t>DEVELOPER-TO-DEVELOPER OFFER</w:t>
      </w:r>
    </w:p>
    <w:p>
      <w:pPr>
        <w:spacing w:after="280"/>
        <w:jc w:val="center"/>
      </w:pPr>
      <w:r>
        <w:rPr>
          <w:rFonts w:ascii="Calibri" w:hAnsi="Calibri"/>
          <w:b/>
          <w:color w:val="0F172A"/>
          <w:sz w:val="26"/>
        </w:rPr>
        <w:t>KATAMKPE LUXURY TERRACE ESTATE — TERRACE UNIT FOR SALE (PRE-FIRST-FLOOR STAGE)</w:t>
      </w:r>
    </w:p>
    <w:p>
      <w:pPr>
        <w:spacing w:after="40" w:line="276" w:lineRule="auto"/>
      </w:pPr>
      <w:r>
        <w:rPr>
          <w:rFonts w:ascii="Calibri" w:hAnsi="Calibri"/>
          <w:b/>
          <w:i w:val="0"/>
          <w:color w:val="222222"/>
          <w:sz w:val="22"/>
        </w:rPr>
        <w:t>Prepared for: A close personal contact of AVM Monday Riku Morgan (Rtd) — Developer/Buyer</w:t>
      </w:r>
    </w:p>
    <w:p>
      <w:pPr>
        <w:spacing w:after="40" w:line="276" w:lineRule="auto"/>
      </w:pPr>
      <w:r>
        <w:rPr>
          <w:rFonts w:ascii="Calibri" w:hAnsi="Calibri"/>
          <w:b/>
          <w:i w:val="0"/>
          <w:color w:val="222222"/>
          <w:sz w:val="22"/>
        </w:rPr>
        <w:t>Introduced by: AVM Monday Riku Morgan (Rtd) — Chairman</w:t>
      </w:r>
    </w:p>
    <w:p>
      <w:pPr>
        <w:spacing w:after="40" w:line="276" w:lineRule="auto"/>
      </w:pPr>
      <w:r>
        <w:rPr>
          <w:rFonts w:ascii="Calibri" w:hAnsi="Calibri"/>
          <w:b/>
          <w:i w:val="0"/>
          <w:color w:val="222222"/>
          <w:sz w:val="22"/>
        </w:rPr>
        <w:t>Prepared by: Tom Ugbodaga — Shareholder &amp; CEO, BETONIQ WEST LTD</w:t>
      </w:r>
    </w:p>
    <w:p>
      <w:pPr>
        <w:spacing w:after="320" w:line="276" w:lineRule="auto"/>
      </w:pPr>
      <w:r>
        <w:rPr>
          <w:rFonts w:ascii="Calibri" w:hAnsi="Calibri"/>
          <w:b w:val="0"/>
          <w:i/>
          <w:color w:val="222222"/>
          <w:sz w:val="21"/>
        </w:rPr>
        <w:t>Date: August 17, 2026</w:t>
      </w:r>
    </w:p>
    <w:p>
      <w:pPr>
        <w:jc w:val="center"/>
      </w:pPr>
      <w:r>
        <w:rPr>
          <w:color w:val="B8860B"/>
          <w:sz w:val="28"/>
        </w:rPr>
        <w:t>— • —</w:t>
      </w:r>
    </w:p>
    <w:p/>
    <w:p>
      <w:pPr>
        <w:spacing w:after="160"/>
      </w:pPr>
      <w:r>
        <w:rPr>
          <w:rFonts w:ascii="Calibri" w:hAnsi="Calibri"/>
          <w:b/>
          <w:color w:val="0F172A"/>
          <w:sz w:val="28"/>
        </w:rPr>
        <w:t>A Straight Numbers Conversation, Between People Who Build</w:t>
      </w:r>
    </w:p>
    <w:p>
      <w:pPr>
        <w:spacing w:after="160" w:line="276" w:lineRule="auto"/>
      </w:pPr>
      <w:r>
        <w:rPr>
          <w:rFonts w:ascii="Calibri" w:hAnsi="Calibri"/>
          <w:b w:val="0"/>
          <w:i w:val="0"/>
          <w:color w:val="222222"/>
          <w:sz w:val="22"/>
        </w:rPr>
        <w:t>You have already been to site. You know exactly what stage this unit is at, you have seen the block work, the decking, the fence line — so this proposal will not waste your time dressing up what is plainly in front of you. What follows is the actual cost position, the real completion scope remaining, and the resale economics, presented the way one developer would want to see them from another.</w:t>
      </w:r>
    </w:p>
    <w:p>
      <w:pPr>
        <w:spacing w:after="160" w:line="276" w:lineRule="auto"/>
      </w:pPr>
      <w:r>
        <w:rPr>
          <w:rFonts w:ascii="Calibri" w:hAnsi="Calibri"/>
          <w:b w:val="0"/>
          <w:i w:val="0"/>
          <w:color w:val="222222"/>
          <w:sz w:val="22"/>
        </w:rPr>
        <w:t>This comes to you through AVM Monday Riku Morgan (Rtd), who wanted a serious, capable buyer to have first look at this unit as a build-and-resell opportunity before it goes any further.</w:t>
      </w:r>
    </w:p>
    <w:p>
      <w:pPr>
        <w:spacing w:after="200" w:line="276" w:lineRule="auto"/>
      </w:pPr>
      <w:r>
        <w:rPr>
          <w:rFonts w:ascii="Calibri" w:hAnsi="Calibri"/>
          <w:b w:val="0"/>
          <w:color w:val="222222"/>
          <w:sz w:val="22"/>
        </w:rPr>
        <w:t xml:space="preserve">The proposition is simple: acquire this unit at its current pre-first-floor stage, take it through completion yourself at your own cost and pace, and resell at </w:t>
      </w:r>
      <w:r>
        <w:rPr>
          <w:rFonts w:ascii="Calibri" w:hAnsi="Calibri"/>
          <w:b/>
          <w:color w:val="222222"/>
          <w:sz w:val="22"/>
        </w:rPr>
        <w:t>full finished market value.</w:t>
      </w:r>
      <w:r>
        <w:rPr>
          <w:rFonts w:ascii="Calibri" w:hAnsi="Calibri"/>
          <w:b w:val="0"/>
          <w:color w:val="222222"/>
          <w:sz w:val="22"/>
        </w:rPr>
        <w:t xml:space="preserve"> Sections 3 through 6 lay out exactly what has been spent, what remains to complete, and what margin that structure leaves you under each payment option.</w:t>
      </w:r>
    </w:p>
    <w:p/>
    <w:p>
      <w:pPr>
        <w:spacing w:after="160"/>
      </w:pPr>
      <w:r>
        <w:rPr>
          <w:rFonts w:ascii="Calibri" w:hAnsi="Calibri"/>
          <w:b/>
          <w:color w:val="0F172A"/>
          <w:sz w:val="26"/>
        </w:rPr>
        <w:t>1. The Unit and Site — As It Currently Stands</w:t>
      </w:r>
    </w:p>
    <w:tbl>
      <w:tblPr>
        <w:tblStyle w:val="TableGrid"/>
        <w:tblW w:type="auto" w:w="0"/>
        <w:jc w:val="center"/>
        <w:tblLook w:firstColumn="1" w:firstRow="1" w:lastColumn="0" w:lastRow="0" w:noHBand="0" w:noVBand="1" w:val="04A0"/>
      </w:tblPr>
      <w:tblGrid>
        <w:gridCol w:w="4320"/>
        <w:gridCol w:w="4320"/>
      </w:tblGrid>
      <w:tr>
        <w:tc>
          <w:tcPr>
            <w:tcW w:type="dxa" w:w="3024"/>
            <w:shd w:val="clear" w:color="auto" w:fill="1e293b"/>
          </w:tcPr>
          <w:p>
            <w:r>
              <w:rPr>
                <w:b/>
                <w:color w:val="FFFFFF"/>
                <w:sz w:val="20"/>
              </w:rPr>
            </w:r>
            <w:r>
              <w:rPr>
                <w:b/>
                <w:color w:val="FFFFFF"/>
                <w:sz w:val="20"/>
              </w:rPr>
              <w:t>Attribute</w:t>
            </w:r>
          </w:p>
        </w:tc>
        <w:tc>
          <w:tcPr>
            <w:tcW w:type="dxa" w:w="6480"/>
            <w:shd w:val="clear" w:color="auto" w:fill="1e293b"/>
          </w:tcPr>
          <w:p>
            <w:r>
              <w:rPr>
                <w:b/>
                <w:color w:val="FFFFFF"/>
                <w:sz w:val="20"/>
              </w:rPr>
            </w:r>
            <w:r>
              <w:rPr>
                <w:b/>
                <w:color w:val="FFFFFF"/>
                <w:sz w:val="20"/>
              </w:rPr>
              <w:t>Specification</w:t>
            </w:r>
          </w:p>
        </w:tc>
      </w:tr>
      <w:tr>
        <w:tc>
          <w:tcPr>
            <w:tcW w:type="dxa" w:w="3024"/>
          </w:tcPr>
          <w:p>
            <w:r/>
            <w:r>
              <w:rPr>
                <w:sz w:val="19"/>
              </w:rPr>
              <w:t>Estate</w:t>
            </w:r>
          </w:p>
        </w:tc>
        <w:tc>
          <w:tcPr>
            <w:tcW w:type="dxa" w:w="6480"/>
          </w:tcPr>
          <w:p>
            <w:r/>
            <w:r>
              <w:rPr>
                <w:sz w:val="19"/>
              </w:rPr>
              <w:t>Katamkpe Luxury Terrace Estate — 9-unit L-shaped configuration (5 + 4 units)</w:t>
            </w:r>
          </w:p>
        </w:tc>
      </w:tr>
      <w:tr>
        <w:tc>
          <w:tcPr>
            <w:tcW w:type="dxa" w:w="3024"/>
          </w:tcPr>
          <w:p>
            <w:r/>
            <w:r>
              <w:rPr>
                <w:sz w:val="19"/>
              </w:rPr>
              <w:t>Location advantage</w:t>
            </w:r>
          </w:p>
        </w:tc>
        <w:tc>
          <w:tcPr>
            <w:tcW w:type="dxa" w:w="6480"/>
          </w:tcPr>
          <w:p>
            <w:r/>
            <w:r>
              <w:rPr>
                <w:sz w:val="19"/>
              </w:rPr>
              <w:t>Direct frontage/parallel access to the newly constructed 4-lane super highway</w:t>
            </w:r>
          </w:p>
        </w:tc>
      </w:tr>
      <w:tr>
        <w:tc>
          <w:tcPr>
            <w:tcW w:type="dxa" w:w="3024"/>
          </w:tcPr>
          <w:p>
            <w:r/>
            <w:r>
              <w:rPr>
                <w:sz w:val="19"/>
              </w:rPr>
              <w:t>Unit type</w:t>
            </w:r>
          </w:p>
        </w:tc>
        <w:tc>
          <w:tcPr>
            <w:tcW w:type="dxa" w:w="6480"/>
          </w:tcPr>
          <w:p>
            <w:r/>
            <w:r>
              <w:rPr>
                <w:sz w:val="19"/>
              </w:rPr>
              <w:t>4-Bedroom Luxury Terrace Duplex, en-suite throughout, with Boys' Quarters (BQ)</w:t>
            </w:r>
          </w:p>
        </w:tc>
      </w:tr>
      <w:tr>
        <w:tc>
          <w:tcPr>
            <w:tcW w:type="dxa" w:w="3024"/>
          </w:tcPr>
          <w:p>
            <w:r/>
            <w:r>
              <w:rPr>
                <w:sz w:val="19"/>
              </w:rPr>
              <w:t>Built-up floor area (on completion)</w:t>
            </w:r>
          </w:p>
        </w:tc>
        <w:tc>
          <w:tcPr>
            <w:tcW w:type="dxa" w:w="6480"/>
          </w:tcPr>
          <w:p>
            <w:r/>
            <w:r>
              <w:rPr>
                <w:sz w:val="19"/>
              </w:rPr>
              <w:t>Approx. 380 sqm</w:t>
            </w:r>
          </w:p>
        </w:tc>
      </w:tr>
      <w:tr>
        <w:tc>
          <w:tcPr>
            <w:tcW w:type="dxa" w:w="3024"/>
          </w:tcPr>
          <w:p>
            <w:r/>
            <w:r>
              <w:rPr>
                <w:sz w:val="19"/>
              </w:rPr>
              <w:t>Total estate land</w:t>
            </w:r>
          </w:p>
        </w:tc>
        <w:tc>
          <w:tcPr>
            <w:tcW w:type="dxa" w:w="6480"/>
          </w:tcPr>
          <w:p>
            <w:r/>
            <w:r>
              <w:rPr>
                <w:sz w:val="19"/>
              </w:rPr>
              <w:t>2,147 sqm total. 30% (≈644 sqm) reserved for shared infrastructure and car park; remaining 70% (≈1,503 sqm) allocated across the 9 units — approx. 167 sqm average building plot per unit.</w:t>
            </w:r>
          </w:p>
        </w:tc>
      </w:tr>
      <w:tr>
        <w:tc>
          <w:tcPr>
            <w:tcW w:type="dxa" w:w="3024"/>
          </w:tcPr>
          <w:p>
            <w:r/>
            <w:r>
              <w:rPr>
                <w:sz w:val="19"/>
              </w:rPr>
              <w:t>Current construction stage</w:t>
            </w:r>
          </w:p>
        </w:tc>
        <w:tc>
          <w:tcPr>
            <w:tcW w:type="dxa" w:w="6480"/>
          </w:tcPr>
          <w:p>
            <w:r/>
            <w:r>
              <w:rPr>
                <w:sz w:val="19"/>
              </w:rPr>
              <w:t>Pre-first-floor level — foundation and ground floor superstructure complete up to and including ground floor decking (suspended slab). No roofing yet. First floor construction, ring beam/lintel, roofing, and all finishing works have not yet commenced.</w:t>
            </w:r>
          </w:p>
        </w:tc>
      </w:tr>
      <w:tr>
        <w:tc>
          <w:tcPr>
            <w:tcW w:type="dxa" w:w="3024"/>
          </w:tcPr>
          <w:p>
            <w:r/>
            <w:r>
              <w:rPr>
                <w:sz w:val="19"/>
              </w:rPr>
              <w:t>Perimeter/retaining fence</w:t>
            </w:r>
          </w:p>
        </w:tc>
        <w:tc>
          <w:tcPr>
            <w:tcW w:type="dxa" w:w="6480"/>
          </w:tcPr>
          <w:p>
            <w:r/>
            <w:r>
              <w:rPr>
                <w:sz w:val="19"/>
              </w:rPr>
              <w:t>Approximately 70% constructed estate-wide to date; remaining 30% outstanding.</w:t>
            </w:r>
          </w:p>
        </w:tc>
      </w:tr>
      <w:tr>
        <w:tc>
          <w:tcPr>
            <w:tcW w:type="dxa" w:w="3024"/>
          </w:tcPr>
          <w:p>
            <w:r/>
            <w:r>
              <w:rPr>
                <w:sz w:val="19"/>
              </w:rPr>
              <w:t>Title</w:t>
            </w:r>
          </w:p>
        </w:tc>
        <w:tc>
          <w:tcPr>
            <w:tcW w:type="dxa" w:w="6480"/>
          </w:tcPr>
          <w:p>
            <w:r/>
            <w:r>
              <w:rPr>
                <w:sz w:val="19"/>
              </w:rPr>
              <w:t>Estate-wide title documentation in progress under the Katamkpe development; unit-specific allocation to be perfected on sale execution.</w:t>
            </w:r>
          </w:p>
        </w:tc>
      </w:tr>
    </w:tbl>
    <w:p>
      <w:pPr>
        <w:spacing w:after="80"/>
      </w:pPr>
    </w:p>
    <w:p>
      <w:pPr>
        <w:spacing w:after="160" w:line="276" w:lineRule="auto"/>
      </w:pPr>
      <w:r>
        <w:rPr>
          <w:rFonts w:ascii="Calibri" w:hAnsi="Calibri"/>
          <w:b w:val="0"/>
          <w:i/>
          <w:color w:val="555555"/>
          <w:sz w:val="20"/>
        </w:rPr>
        <w:t>No inflation, no rounding in the buyer's favour — this is the stage you saw on site, stated plainly for the record in this document.</w:t>
      </w:r>
    </w:p>
    <w:p>
      <w:pPr>
        <w:spacing w:after="160"/>
      </w:pPr>
      <w:r>
        <w:rPr>
          <w:rFonts w:ascii="Calibri" w:hAnsi="Calibri"/>
          <w:b/>
          <w:color w:val="0F172A"/>
          <w:sz w:val="26"/>
        </w:rPr>
        <w:t>2. Why This Works as a Build-and-Resell Position</w:t>
      </w:r>
    </w:p>
    <w:p>
      <w:pPr>
        <w:spacing w:after="160" w:line="276" w:lineRule="auto"/>
      </w:pPr>
      <w:r>
        <w:rPr>
          <w:rFonts w:ascii="Calibri" w:hAnsi="Calibri"/>
          <w:b w:val="0"/>
          <w:i w:val="0"/>
          <w:color w:val="222222"/>
          <w:sz w:val="22"/>
        </w:rPr>
        <w:t>Buying at pre-first-floor stage means you control 100% of the remaining construction spend — first floor, roof, and every finish — instead of paying a developer's finishing markup on someone else's decisions. Every naira you put into completion is a naira you control the specification and the supplier for.</w:t>
      </w:r>
    </w:p>
    <w:p>
      <w:pPr>
        <w:spacing w:after="80" w:line="276" w:lineRule="auto"/>
      </w:pPr>
      <w:r>
        <w:rPr>
          <w:rFonts w:ascii="Calibri" w:hAnsi="Calibri"/>
          <w:b w:val="0"/>
          <w:i w:val="0"/>
          <w:color w:val="222222"/>
          <w:sz w:val="22"/>
        </w:rPr>
        <w:t>•  You run your own completion contract at your own negotiated rates — no developer markup sits inside the remaining spend.</w:t>
      </w:r>
    </w:p>
    <w:p>
      <w:pPr>
        <w:spacing w:after="80" w:line="276" w:lineRule="auto"/>
      </w:pPr>
      <w:r>
        <w:rPr>
          <w:rFonts w:ascii="Calibri" w:hAnsi="Calibri"/>
          <w:b w:val="0"/>
          <w:i w:val="0"/>
          <w:color w:val="222222"/>
          <w:sz w:val="22"/>
        </w:rPr>
        <w:t>•  You control the finish specification entirely, which matters directly to what you can resell it for and to whom.</w:t>
      </w:r>
    </w:p>
    <w:p>
      <w:pPr>
        <w:spacing w:after="80" w:line="276" w:lineRule="auto"/>
      </w:pPr>
      <w:r>
        <w:rPr>
          <w:rFonts w:ascii="Calibri" w:hAnsi="Calibri"/>
          <w:b w:val="0"/>
          <w:i w:val="0"/>
          <w:color w:val="222222"/>
          <w:sz w:val="22"/>
        </w:rPr>
        <w:t>•  The entry price is fixed now, before any further site progress or highway-driven appreciation moves the comparable market up.</w:t>
      </w:r>
    </w:p>
    <w:p/>
    <w:p>
      <w:pPr>
        <w:spacing w:after="160"/>
      </w:pPr>
      <w:r>
        <w:rPr>
          <w:rFonts w:ascii="Calibri" w:hAnsi="Calibri"/>
          <w:b/>
          <w:color w:val="0F172A"/>
          <w:sz w:val="26"/>
        </w:rPr>
        <w:t>3. Actual Cost Breakdown — Spend to Date (Pre-First-Floor Stage)</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TABLE</w:t>
            </w:r>
          </w:p>
          <w:p>
            <w:pPr>
              <w:spacing w:after="40"/>
            </w:pPr>
            <w:r>
              <w:rPr>
                <w:color w:val="222222"/>
                <w:sz w:val="19"/>
              </w:rPr>
              <w:t>This is the actual cost incurred to bring this specific unit to its current pre-first-floor/decking stage —</w:t>
            </w:r>
          </w:p>
          <w:p>
            <w:pPr>
              <w:spacing w:after="40"/>
            </w:pPr>
            <w:r>
              <w:rPr>
                <w:color w:val="222222"/>
                <w:sz w:val="19"/>
              </w:rPr>
              <w:t>land, foundation, ground floor structure, and site infrastructure share only. It does NOT include first floor</w:t>
            </w:r>
          </w:p>
          <w:p>
            <w:pPr>
              <w:spacing w:after="40"/>
            </w:pPr>
            <w:r>
              <w:rPr>
                <w:color w:val="222222"/>
                <w:sz w:val="19"/>
              </w:rPr>
              <w:t>construction, roofing, or any finishing — that remaining scope is costed separately in Section 4.</w:t>
            </w:r>
          </w:p>
          <w:p>
            <w:pPr>
              <w:spacing w:after="40"/>
            </w:pPr>
            <w:r>
              <w:rPr>
                <w:color w:val="222222"/>
                <w:sz w:val="19"/>
              </w:rPr>
              <w:t>Figures are working construction-cost estimates for Tom's review against real site invoices/receipts before this</w:t>
            </w:r>
          </w:p>
          <w:p>
            <w:pPr>
              <w:spacing w:after="40"/>
            </w:pPr>
            <w:r>
              <w:rPr>
                <w:color w:val="222222"/>
                <w:sz w:val="19"/>
              </w:rPr>
              <w:t>proposal is finalized — treat these as a defensible starting figure, not yet a reconciled audit.</w:t>
            </w:r>
          </w:p>
        </w:tc>
      </w:tr>
    </w:tbl>
    <w:p>
      <w:pPr>
        <w:spacing w:after="80"/>
      </w:pPr>
    </w:p>
    <w:tbl>
      <w:tblPr>
        <w:tblStyle w:val="TableGrid"/>
        <w:tblW w:type="auto" w:w="0"/>
        <w:jc w:val="center"/>
        <w:tblLook w:firstColumn="1" w:firstRow="1" w:lastColumn="0" w:lastRow="0" w:noHBand="0" w:noVBand="1" w:val="04A0"/>
      </w:tblPr>
      <w:tblGrid>
        <w:gridCol w:w="4320"/>
        <w:gridCol w:w="4320"/>
      </w:tblGrid>
      <w:tr>
        <w:tc>
          <w:tcPr>
            <w:tcW w:type="dxa" w:w="7056"/>
            <w:shd w:val="clear" w:color="auto" w:fill="1e293b"/>
          </w:tcPr>
          <w:p>
            <w:r>
              <w:rPr>
                <w:b/>
                <w:color w:val="FFFFFF"/>
                <w:sz w:val="20"/>
              </w:rPr>
            </w:r>
            <w:r>
              <w:rPr>
                <w:b/>
                <w:color w:val="FFFFFF"/>
                <w:sz w:val="20"/>
              </w:rPr>
              <w:t>Cost Item</w:t>
            </w:r>
          </w:p>
        </w:tc>
        <w:tc>
          <w:tcPr>
            <w:tcW w:type="dxa" w:w="2448"/>
            <w:shd w:val="clear" w:color="auto" w:fill="1e293b"/>
          </w:tcPr>
          <w:p>
            <w:r>
              <w:rPr>
                <w:b/>
                <w:color w:val="FFFFFF"/>
                <w:sz w:val="20"/>
              </w:rPr>
            </w:r>
            <w:r>
              <w:rPr>
                <w:b/>
                <w:color w:val="FFFFFF"/>
                <w:sz w:val="20"/>
              </w:rPr>
              <w:t>Amount (NGN)</w:t>
            </w:r>
          </w:p>
        </w:tc>
      </w:tr>
      <w:tr>
        <w:tc>
          <w:tcPr>
            <w:tcW w:type="dxa" w:w="7056"/>
          </w:tcPr>
          <w:p>
            <w:r/>
            <w:r>
              <w:rPr>
                <w:sz w:val="19"/>
              </w:rPr>
              <w:t>Land acquisition &amp; allocation (unit share, title/survey/C of O processing)</w:t>
            </w:r>
          </w:p>
        </w:tc>
        <w:tc>
          <w:tcPr>
            <w:tcW w:type="dxa" w:w="2448"/>
          </w:tcPr>
          <w:p>
            <w:r/>
            <w:r>
              <w:rPr>
                <w:sz w:val="19"/>
              </w:rPr>
              <w:t>₦52,000,000</w:t>
            </w:r>
          </w:p>
        </w:tc>
      </w:tr>
      <w:tr>
        <w:tc>
          <w:tcPr>
            <w:tcW w:type="dxa" w:w="7056"/>
          </w:tcPr>
          <w:p>
            <w:r/>
            <w:r>
              <w:rPr>
                <w:sz w:val="19"/>
              </w:rPr>
              <w:t>Site preparation &amp; foundation (clearing, excavation, foundation concrete, DPC)</w:t>
            </w:r>
          </w:p>
        </w:tc>
        <w:tc>
          <w:tcPr>
            <w:tcW w:type="dxa" w:w="2448"/>
          </w:tcPr>
          <w:p>
            <w:r/>
            <w:r>
              <w:rPr>
                <w:sz w:val="19"/>
              </w:rPr>
              <w:t>₦19,000,000</w:t>
            </w:r>
          </w:p>
        </w:tc>
      </w:tr>
      <w:tr>
        <w:tc>
          <w:tcPr>
            <w:tcW w:type="dxa" w:w="7056"/>
          </w:tcPr>
          <w:p>
            <w:r/>
            <w:r>
              <w:rPr>
                <w:sz w:val="19"/>
              </w:rPr>
              <w:t>Ground floor superstructure — block work &amp; structural framing (blocks, cement, reinforcement, columns, beams)</w:t>
            </w:r>
          </w:p>
        </w:tc>
        <w:tc>
          <w:tcPr>
            <w:tcW w:type="dxa" w:w="2448"/>
          </w:tcPr>
          <w:p>
            <w:r/>
            <w:r>
              <w:rPr>
                <w:sz w:val="19"/>
              </w:rPr>
              <w:t>₦24,000,000</w:t>
            </w:r>
          </w:p>
        </w:tc>
      </w:tr>
      <w:tr>
        <w:tc>
          <w:tcPr>
            <w:tcW w:type="dxa" w:w="7056"/>
          </w:tcPr>
          <w:p>
            <w:r/>
            <w:r>
              <w:rPr>
                <w:sz w:val="19"/>
              </w:rPr>
              <w:t>Ground floor decking — suspended slab (formwork, reinforcement, concrete casting)</w:t>
            </w:r>
          </w:p>
        </w:tc>
        <w:tc>
          <w:tcPr>
            <w:tcW w:type="dxa" w:w="2448"/>
          </w:tcPr>
          <w:p>
            <w:r/>
            <w:r>
              <w:rPr>
                <w:sz w:val="19"/>
              </w:rPr>
              <w:t>₦17,000,000</w:t>
            </w:r>
          </w:p>
        </w:tc>
      </w:tr>
      <w:tr>
        <w:tc>
          <w:tcPr>
            <w:tcW w:type="dxa" w:w="7056"/>
          </w:tcPr>
          <w:p>
            <w:r/>
            <w:r>
              <w:rPr>
                <w:sz w:val="19"/>
              </w:rPr>
              <w:t>Ground floor rough-in electrical &amp; plumbing (conduits/pipe routing embedded ahead of decking)</w:t>
            </w:r>
          </w:p>
        </w:tc>
        <w:tc>
          <w:tcPr>
            <w:tcW w:type="dxa" w:w="2448"/>
          </w:tcPr>
          <w:p>
            <w:r/>
            <w:r>
              <w:rPr>
                <w:sz w:val="19"/>
              </w:rPr>
              <w:t>₦6,500,000</w:t>
            </w:r>
          </w:p>
        </w:tc>
      </w:tr>
      <w:tr>
        <w:tc>
          <w:tcPr>
            <w:tcW w:type="dxa" w:w="7056"/>
          </w:tcPr>
          <w:p>
            <w:r/>
            <w:r>
              <w:rPr>
                <w:sz w:val="19"/>
              </w:rPr>
              <w:t>Retaining perimeter fence — unit share of the 70% estate-wide construction completed to date</w:t>
            </w:r>
          </w:p>
        </w:tc>
        <w:tc>
          <w:tcPr>
            <w:tcW w:type="dxa" w:w="2448"/>
          </w:tcPr>
          <w:p>
            <w:r/>
            <w:r>
              <w:rPr>
                <w:sz w:val="19"/>
              </w:rPr>
              <w:t>₦12,000,000</w:t>
            </w:r>
          </w:p>
        </w:tc>
      </w:tr>
      <w:tr>
        <w:tc>
          <w:tcPr>
            <w:tcW w:type="dxa" w:w="7056"/>
          </w:tcPr>
          <w:p>
            <w:r/>
            <w:r>
              <w:rPr>
                <w:sz w:val="19"/>
              </w:rPr>
              <w:t>Other shared site infrastructure to date (drainage, highway access tie-in works in progress)</w:t>
            </w:r>
          </w:p>
        </w:tc>
        <w:tc>
          <w:tcPr>
            <w:tcW w:type="dxa" w:w="2448"/>
          </w:tcPr>
          <w:p>
            <w:r/>
            <w:r>
              <w:rPr>
                <w:sz w:val="19"/>
              </w:rPr>
              <w:t>₦6,000,000</w:t>
            </w:r>
          </w:p>
        </w:tc>
      </w:tr>
      <w:tr>
        <w:tc>
          <w:tcPr>
            <w:tcW w:type="dxa" w:w="7056"/>
          </w:tcPr>
          <w:p>
            <w:r/>
            <w:r>
              <w:rPr>
                <w:sz w:val="19"/>
              </w:rPr>
              <w:t>Professional fees &amp; site supervision (foundation through decking phase)</w:t>
            </w:r>
          </w:p>
        </w:tc>
        <w:tc>
          <w:tcPr>
            <w:tcW w:type="dxa" w:w="2448"/>
          </w:tcPr>
          <w:p>
            <w:r/>
            <w:r>
              <w:rPr>
                <w:sz w:val="19"/>
              </w:rPr>
              <w:t>₦6,500,000</w:t>
            </w:r>
          </w:p>
        </w:tc>
      </w:tr>
      <w:tr>
        <w:tc>
          <w:tcPr>
            <w:tcW w:type="dxa" w:w="7056"/>
          </w:tcPr>
          <w:p>
            <w:r/>
            <w:r>
              <w:rPr>
                <w:sz w:val="19"/>
              </w:rPr>
              <w:t>Contingency (~5%)</w:t>
            </w:r>
          </w:p>
        </w:tc>
        <w:tc>
          <w:tcPr>
            <w:tcW w:type="dxa" w:w="2448"/>
          </w:tcPr>
          <w:p>
            <w:r/>
            <w:r>
              <w:rPr>
                <w:sz w:val="19"/>
              </w:rPr>
              <w:t>₦7,000,000</w:t>
            </w:r>
          </w:p>
        </w:tc>
      </w:tr>
      <w:tr>
        <w:tc>
          <w:tcPr>
            <w:tcW w:type="dxa" w:w="7056"/>
            <w:shd w:val="clear" w:color="auto" w:fill="FBF3DD"/>
          </w:tcPr>
          <w:p>
            <w:r/>
            <w:r>
              <w:rPr>
                <w:b/>
                <w:color w:val="B8860B"/>
                <w:sz w:val="19"/>
              </w:rPr>
              <w:t>TOTAL ACTUAL COST TO DATE</w:t>
            </w:r>
          </w:p>
        </w:tc>
        <w:tc>
          <w:tcPr>
            <w:tcW w:type="dxa" w:w="2448"/>
            <w:shd w:val="clear" w:color="auto" w:fill="FBF3DD"/>
          </w:tcPr>
          <w:p>
            <w:r/>
            <w:r>
              <w:rPr>
                <w:b/>
                <w:color w:val="B8860B"/>
                <w:sz w:val="19"/>
              </w:rPr>
              <w:t>₦150,000,000</w:t>
            </w:r>
          </w:p>
        </w:tc>
      </w:tr>
    </w:tbl>
    <w:p>
      <w:pPr>
        <w:spacing w:after="80"/>
      </w:pPr>
    </w:p>
    <w:p>
      <w:pPr>
        <w:spacing w:after="160" w:line="276" w:lineRule="auto"/>
      </w:pPr>
      <w:r>
        <w:rPr>
          <w:rFonts w:ascii="Calibri" w:hAnsi="Calibri"/>
          <w:b w:val="0"/>
          <w:i/>
          <w:color w:val="555555"/>
          <w:sz w:val="20"/>
        </w:rPr>
        <w:t>For reference, a carcass/lintel-roofed unfinished terrace unit in this corridor — a later, more advanced stage than this one — costs no less than ₦200,000,000 to reach that point. At ₦150,000,000, this unit's cost is proportionately lower, which is exactly consistent with its earlier pre-first-floor, pre-roofing stage — not a discrepancy, a confirmation.</w:t>
      </w:r>
    </w:p>
    <w:p>
      <w:pPr>
        <w:spacing w:after="160"/>
      </w:pPr>
      <w:r>
        <w:rPr>
          <w:rFonts w:ascii="Calibri" w:hAnsi="Calibri"/>
          <w:b/>
          <w:color w:val="0F172A"/>
          <w:sz w:val="26"/>
        </w:rPr>
        <w:t>4. Remaining Completion Cost &amp; Finished Resale Valuation</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TABLE</w:t>
            </w:r>
          </w:p>
          <w:p>
            <w:pPr>
              <w:spacing w:after="40"/>
            </w:pPr>
            <w:r>
              <w:rPr>
                <w:color w:val="222222"/>
                <w:sz w:val="19"/>
              </w:rPr>
              <w:t>This bridges the ₦150,000,000 spent to date to the ₦450,000,000 finished resale valuation. 'Completion cost' is</w:t>
            </w:r>
          </w:p>
          <w:p>
            <w:pPr>
              <w:spacing w:after="40"/>
            </w:pPr>
            <w:r>
              <w:rPr>
                <w:color w:val="222222"/>
                <w:sz w:val="19"/>
              </w:rPr>
              <w:t>what it takes to carry the unit from pre-first-floor stage through first floor structure, roofing, ring</w:t>
            </w:r>
          </w:p>
          <w:p>
            <w:pPr>
              <w:spacing w:after="40"/>
            </w:pPr>
            <w:r>
              <w:rPr>
                <w:color w:val="222222"/>
                <w:sz w:val="19"/>
              </w:rPr>
              <w:t>beam/lintel, doors/windows, full interior finishing, kitchen/bathroom fittings, remaining fence share, and</w:t>
            </w:r>
          </w:p>
          <w:p>
            <w:pPr>
              <w:spacing w:after="40"/>
            </w:pPr>
            <w:r>
              <w:rPr>
                <w:color w:val="222222"/>
                <w:sz w:val="19"/>
              </w:rPr>
              <w:t>landscaping. 'Location &amp; market premium' reflects genuine comparable luxury terrace pricing along this</w:t>
            </w:r>
          </w:p>
          <w:p>
            <w:pPr>
              <w:spacing w:after="40"/>
            </w:pPr>
            <w:r>
              <w:rPr>
                <w:color w:val="222222"/>
                <w:sz w:val="19"/>
              </w:rPr>
              <w:t>corridor since the highway's completion — a market-based figure, not an arbitrary markup.</w:t>
            </w:r>
          </w:p>
        </w:tc>
      </w:tr>
    </w:tbl>
    <w:p>
      <w:pPr>
        <w:spacing w:after="80"/>
      </w:pPr>
    </w:p>
    <w:tbl>
      <w:tblPr>
        <w:tblStyle w:val="TableGrid"/>
        <w:tblW w:type="auto" w:w="0"/>
        <w:jc w:val="center"/>
        <w:tblLook w:firstColumn="1" w:firstRow="1" w:lastColumn="0" w:lastRow="0" w:noHBand="0" w:noVBand="1" w:val="04A0"/>
      </w:tblPr>
      <w:tblGrid>
        <w:gridCol w:w="4320"/>
        <w:gridCol w:w="4320"/>
      </w:tblGrid>
      <w:tr>
        <w:tc>
          <w:tcPr>
            <w:tcW w:type="dxa" w:w="7056"/>
            <w:shd w:val="clear" w:color="auto" w:fill="1e293b"/>
          </w:tcPr>
          <w:p>
            <w:r>
              <w:rPr>
                <w:b/>
                <w:color w:val="FFFFFF"/>
                <w:sz w:val="20"/>
              </w:rPr>
            </w:r>
            <w:r>
              <w:rPr>
                <w:b/>
                <w:color w:val="FFFFFF"/>
                <w:sz w:val="20"/>
              </w:rPr>
              <w:t>Component</w:t>
            </w:r>
          </w:p>
        </w:tc>
        <w:tc>
          <w:tcPr>
            <w:tcW w:type="dxa" w:w="2448"/>
            <w:shd w:val="clear" w:color="auto" w:fill="1e293b"/>
          </w:tcPr>
          <w:p>
            <w:r>
              <w:rPr>
                <w:b/>
                <w:color w:val="FFFFFF"/>
                <w:sz w:val="20"/>
              </w:rPr>
            </w:r>
            <w:r>
              <w:rPr>
                <w:b/>
                <w:color w:val="FFFFFF"/>
                <w:sz w:val="20"/>
              </w:rPr>
              <w:t>Amount (NGN)</w:t>
            </w:r>
          </w:p>
        </w:tc>
      </w:tr>
      <w:tr>
        <w:tc>
          <w:tcPr>
            <w:tcW w:type="dxa" w:w="7056"/>
          </w:tcPr>
          <w:p>
            <w:r/>
            <w:r>
              <w:rPr>
                <w:sz w:val="19"/>
              </w:rPr>
              <w:t>Actual cost to date (from Section 3)</w:t>
            </w:r>
          </w:p>
        </w:tc>
        <w:tc>
          <w:tcPr>
            <w:tcW w:type="dxa" w:w="2448"/>
          </w:tcPr>
          <w:p>
            <w:r/>
            <w:r>
              <w:rPr>
                <w:sz w:val="19"/>
              </w:rPr>
              <w:t>₦150,000,000</w:t>
            </w:r>
          </w:p>
        </w:tc>
      </w:tr>
      <w:tr>
        <w:tc>
          <w:tcPr>
            <w:tcW w:type="dxa" w:w="7056"/>
          </w:tcPr>
          <w:p>
            <w:r/>
            <w:r>
              <w:rPr>
                <w:sz w:val="19"/>
              </w:rPr>
              <w:t>Completion cost to full luxury finish (first floor structure, roofing, ring beam/lintel, doors/windows, interior finishing, kitchen/bathroom fittings, fence completion, landscaping)</w:t>
            </w:r>
          </w:p>
        </w:tc>
        <w:tc>
          <w:tcPr>
            <w:tcW w:type="dxa" w:w="2448"/>
          </w:tcPr>
          <w:p>
            <w:r/>
            <w:r>
              <w:rPr>
                <w:sz w:val="19"/>
              </w:rPr>
              <w:t>₦95,000,000</w:t>
            </w:r>
          </w:p>
        </w:tc>
      </w:tr>
      <w:tr>
        <w:tc>
          <w:tcPr>
            <w:tcW w:type="dxa" w:w="7056"/>
          </w:tcPr>
          <w:p>
            <w:r/>
            <w:r>
              <w:rPr>
                <w:sz w:val="19"/>
              </w:rPr>
              <w:t>Subtotal — full all-in cost to complete</w:t>
            </w:r>
          </w:p>
        </w:tc>
        <w:tc>
          <w:tcPr>
            <w:tcW w:type="dxa" w:w="2448"/>
          </w:tcPr>
          <w:p>
            <w:r/>
            <w:r>
              <w:rPr>
                <w:sz w:val="19"/>
              </w:rPr>
              <w:t>₦245,000,000</w:t>
            </w:r>
          </w:p>
        </w:tc>
      </w:tr>
      <w:tr>
        <w:tc>
          <w:tcPr>
            <w:tcW w:type="dxa" w:w="7056"/>
          </w:tcPr>
          <w:p>
            <w:r/>
            <w:r>
              <w:rPr>
                <w:sz w:val="19"/>
              </w:rPr>
              <w:t>Location &amp; market premium (highway-fronted, gated 9-unit exclusivity, comparable corridor pricing)</w:t>
            </w:r>
          </w:p>
        </w:tc>
        <w:tc>
          <w:tcPr>
            <w:tcW w:type="dxa" w:w="2448"/>
          </w:tcPr>
          <w:p>
            <w:r/>
            <w:r>
              <w:rPr>
                <w:sz w:val="19"/>
              </w:rPr>
              <w:t>₦205,000,000</w:t>
            </w:r>
          </w:p>
        </w:tc>
      </w:tr>
      <w:tr>
        <w:tc>
          <w:tcPr>
            <w:tcW w:type="dxa" w:w="7056"/>
            <w:shd w:val="clear" w:color="auto" w:fill="FBF3DD"/>
          </w:tcPr>
          <w:p>
            <w:r/>
            <w:r>
              <w:rPr>
                <w:b/>
                <w:color w:val="B8860B"/>
                <w:sz w:val="19"/>
              </w:rPr>
              <w:t>FINISHED RESALE VALUATION — PER UNIT</w:t>
            </w:r>
          </w:p>
        </w:tc>
        <w:tc>
          <w:tcPr>
            <w:tcW w:type="dxa" w:w="2448"/>
            <w:shd w:val="clear" w:color="auto" w:fill="FBF3DD"/>
          </w:tcPr>
          <w:p>
            <w:r/>
            <w:r>
              <w:rPr>
                <w:b/>
                <w:color w:val="B8860B"/>
                <w:sz w:val="19"/>
              </w:rPr>
              <w:t>₦450,000,000</w:t>
            </w:r>
          </w:p>
        </w:tc>
      </w:tr>
    </w:tbl>
    <w:p>
      <w:pPr>
        <w:spacing w:after="80"/>
      </w:pP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COMPLETION SCOPE BREAKDOWN (the ₦95,000,000 above)</w:t>
            </w:r>
          </w:p>
          <w:p>
            <w:pPr>
              <w:spacing w:after="40"/>
            </w:pPr>
            <w:r>
              <w:rPr>
                <w:color w:val="222222"/>
                <w:sz w:val="19"/>
              </w:rPr>
              <w:t>First floor superstructure (block work &amp; framing): ₦16,000,000  |  Roofing structure &amp; covering: ₦18,000,000</w:t>
            </w:r>
          </w:p>
          <w:p>
            <w:pPr>
              <w:spacing w:after="40"/>
            </w:pPr>
            <w:r>
              <w:rPr>
                <w:color w:val="222222"/>
                <w:sz w:val="19"/>
              </w:rPr>
              <w:t>Ring beam &amp; lintel: ₦7,000,000  |  Doors, windows &amp; fenestration: ₦9,000,000</w:t>
            </w:r>
          </w:p>
          <w:p>
            <w:pPr>
              <w:spacing w:after="40"/>
            </w:pPr>
            <w:r>
              <w:rPr>
                <w:color w:val="222222"/>
                <w:sz w:val="19"/>
              </w:rPr>
              <w:t>Interior finishing (plastering, POP, paint, flooring/tiling): ₦18,000,000  |  Kitchen &amp; bathroom fittings: ₦10,000,000</w:t>
            </w:r>
          </w:p>
          <w:p>
            <w:pPr>
              <w:spacing w:after="40"/>
            </w:pPr>
            <w:r>
              <w:rPr>
                <w:color w:val="222222"/>
                <w:sz w:val="19"/>
              </w:rPr>
              <w:t>Remaining electrical &amp; plumbing completion: ₦7,000,000  |  Fence completion (remaining 30%) &amp; landscaping: ₦10,000,000</w:t>
            </w:r>
          </w:p>
        </w:tc>
      </w:tr>
    </w:tbl>
    <w:p>
      <w:pPr>
        <w:spacing w:after="80"/>
      </w:pPr>
    </w:p>
    <w:p>
      <w:pPr>
        <w:spacing w:after="160"/>
      </w:pPr>
      <w:r>
        <w:rPr>
          <w:rFonts w:ascii="Calibri" w:hAnsi="Calibri"/>
          <w:b/>
          <w:color w:val="0F172A"/>
          <w:sz w:val="26"/>
        </w:rPr>
        <w:t>5. Business Justification — Why ₦350,000,000 Is the Right Offer Price</w:t>
      </w:r>
    </w:p>
    <w:p>
      <w:pPr>
        <w:spacing w:after="160" w:line="276" w:lineRule="auto"/>
      </w:pPr>
      <w:r>
        <w:rPr>
          <w:rFonts w:ascii="Calibri" w:hAnsi="Calibri"/>
          <w:b w:val="0"/>
          <w:color w:val="222222"/>
          <w:sz w:val="22"/>
        </w:rPr>
        <w:t xml:space="preserve">The standing offer price for this unit at its current stage is </w:t>
      </w:r>
      <w:r>
        <w:rPr>
          <w:rFonts w:ascii="Calibri" w:hAnsi="Calibri"/>
          <w:b/>
          <w:color w:val="222222"/>
          <w:sz w:val="22"/>
        </w:rPr>
        <w:t>₦350,000,000</w:t>
      </w:r>
      <w:r>
        <w:rPr>
          <w:rFonts w:ascii="Calibri" w:hAnsi="Calibri"/>
          <w:b w:val="0"/>
          <w:color w:val="222222"/>
          <w:sz w:val="22"/>
        </w:rPr>
        <w:t xml:space="preserve"> — a full </w:t>
      </w:r>
      <w:r>
        <w:rPr>
          <w:rFonts w:ascii="Calibri" w:hAnsi="Calibri"/>
          <w:b/>
          <w:color w:val="222222"/>
          <w:sz w:val="22"/>
        </w:rPr>
        <w:t>₦100,000,000 (22%) below</w:t>
      </w:r>
      <w:r>
        <w:rPr>
          <w:rFonts w:ascii="Calibri" w:hAnsi="Calibri"/>
          <w:b w:val="0"/>
          <w:color w:val="222222"/>
          <w:sz w:val="22"/>
        </w:rPr>
        <w:t xml:space="preserve"> the ₦450,000,000 finished resale valuation established in Section 4. That gap is the headline number: no comparable finished unit in this corridor trades anywhere near ₦350M.</w:t>
      </w:r>
    </w:p>
    <w:p>
      <w:pPr>
        <w:spacing w:after="200" w:line="276" w:lineRule="auto"/>
      </w:pPr>
      <w:r>
        <w:rPr>
          <w:rFonts w:ascii="Calibri" w:hAnsi="Calibri"/>
          <w:b w:val="0"/>
          <w:color w:val="222222"/>
          <w:sz w:val="22"/>
        </w:rPr>
        <w:t xml:space="preserve">Run it as a build-and-resell position: purchase price of </w:t>
      </w:r>
      <w:r>
        <w:rPr>
          <w:rFonts w:ascii="Calibri" w:hAnsi="Calibri"/>
          <w:b/>
          <w:color w:val="222222"/>
          <w:sz w:val="22"/>
        </w:rPr>
        <w:t>₦350,000,000</w:t>
      </w:r>
      <w:r>
        <w:rPr>
          <w:rFonts w:ascii="Calibri" w:hAnsi="Calibri"/>
          <w:b w:val="0"/>
          <w:color w:val="222222"/>
          <w:sz w:val="22"/>
        </w:rPr>
        <w:t xml:space="preserve"> plus completion cost of </w:t>
      </w:r>
      <w:r>
        <w:rPr>
          <w:rFonts w:ascii="Calibri" w:hAnsi="Calibri"/>
          <w:b/>
          <w:color w:val="222222"/>
          <w:sz w:val="22"/>
        </w:rPr>
        <w:t>₦95,000,000</w:t>
      </w:r>
      <w:r>
        <w:rPr>
          <w:rFonts w:ascii="Calibri" w:hAnsi="Calibri"/>
          <w:b w:val="0"/>
          <w:color w:val="222222"/>
          <w:sz w:val="22"/>
        </w:rPr>
        <w:t xml:space="preserve"> (Section 4) puts your all-in cost at </w:t>
      </w:r>
      <w:r>
        <w:rPr>
          <w:rFonts w:ascii="Calibri" w:hAnsi="Calibri"/>
          <w:b/>
          <w:color w:val="222222"/>
          <w:sz w:val="22"/>
        </w:rPr>
        <w:t>₦445,000,000</w:t>
      </w:r>
      <w:r>
        <w:rPr>
          <w:rFonts w:ascii="Calibri" w:hAnsi="Calibri"/>
          <w:b w:val="0"/>
          <w:color w:val="222222"/>
          <w:sz w:val="22"/>
        </w:rPr>
        <w:t xml:space="preserve">. Against a </w:t>
      </w:r>
      <w:r>
        <w:rPr>
          <w:rFonts w:ascii="Calibri" w:hAnsi="Calibri"/>
          <w:b/>
          <w:color w:val="222222"/>
          <w:sz w:val="22"/>
        </w:rPr>
        <w:t>₦450,000,000</w:t>
      </w:r>
      <w:r>
        <w:rPr>
          <w:rFonts w:ascii="Calibri" w:hAnsi="Calibri"/>
          <w:b w:val="0"/>
          <w:color w:val="222222"/>
          <w:sz w:val="22"/>
        </w:rPr>
        <w:t xml:space="preserve"> finished resale valuation, that already clears your build cost with room to spare — before any further market movement from the highway's continued impact on this corridor.</w:t>
      </w:r>
    </w:p>
    <w:p>
      <w:pPr>
        <w:spacing w:after="160" w:line="276" w:lineRule="auto"/>
      </w:pPr>
      <w:r>
        <w:rPr>
          <w:rFonts w:ascii="Calibri" w:hAnsi="Calibri"/>
          <w:b w:val="0"/>
          <w:i w:val="0"/>
          <w:color w:val="222222"/>
          <w:sz w:val="22"/>
        </w:rPr>
        <w:t>From the seller's side, this price recovers the full ₦150,000,000 actually invested in land and structure to date, plus a development margin of ₦200,000,000 — proportionate to a project sitting directly on a newly built highway in one of Abuja's most closely watched luxury corridors, and still well below the ₦450,000,000 ceiling the finished product commands.</w:t>
      </w:r>
    </w:p>
    <w:p>
      <w:pPr>
        <w:spacing w:after="160"/>
      </w:pPr>
      <w:r>
        <w:rPr>
          <w:rFonts w:ascii="Calibri" w:hAnsi="Calibri"/>
          <w:b/>
          <w:color w:val="0F172A"/>
          <w:sz w:val="26"/>
        </w:rPr>
        <w:t>6. Payment Options</w:t>
      </w:r>
    </w:p>
    <w:tbl>
      <w:tblPr>
        <w:tblW w:type="auto" w:w="0"/>
        <w:jc w:val="center"/>
        <w:tblLook w:firstColumn="1" w:firstRow="1" w:lastColumn="0" w:lastRow="0" w:noHBand="0" w:noVBand="1" w:val="04A0"/>
      </w:tblPr>
      <w:tblGrid>
        <w:gridCol w:w="8640"/>
      </w:tblGrid>
      <w:tr>
        <w:tc>
          <w:tcPr>
            <w:tcW w:type="dxa" w:w="8640"/>
            <w:shd w:val="clear" w:color="auto" w:fill="F2ECD9"/>
          </w:tcPr>
          <w:p>
            <w:r/>
            <w:r>
              <w:rPr>
                <w:b/>
                <w:color w:val="8A6A00"/>
                <w:sz w:val="20"/>
              </w:rPr>
              <w:t>HOW TO READ THIS SECTION</w:t>
            </w:r>
          </w:p>
          <w:p>
            <w:pPr>
              <w:spacing w:after="40"/>
            </w:pPr>
            <w:r>
              <w:rPr>
                <w:color w:val="222222"/>
                <w:sz w:val="19"/>
              </w:rPr>
              <w:t>Option A rewards immediate full payment with a ₦50,000,000 discount off the ₦350,000,000 standing offer price —</w:t>
            </w:r>
          </w:p>
          <w:p>
            <w:pPr>
              <w:spacing w:after="40"/>
            </w:pPr>
            <w:r>
              <w:rPr>
                <w:color w:val="222222"/>
                <w:sz w:val="19"/>
              </w:rPr>
              <w:t>a single payment of ₦300,000,000 closes the sale outright. Option B keeps the full ₦350,000,000 standing offer</w:t>
            </w:r>
          </w:p>
          <w:p>
            <w:pPr>
              <w:spacing w:after="40"/>
            </w:pPr>
            <w:r>
              <w:rPr>
                <w:color w:val="222222"/>
                <w:sz w:val="19"/>
              </w:rPr>
              <w:t>price but spreads it across two payments: ₦200,000,000 on execution, and the ₦150,000,000 balance within 45</w:t>
            </w:r>
          </w:p>
          <w:p>
            <w:pPr>
              <w:spacing w:after="40"/>
            </w:pPr>
            <w:r>
              <w:rPr>
                <w:color w:val="222222"/>
                <w:sz w:val="19"/>
              </w:rPr>
              <w:t>days. Neither option is priced above the standing offer price — Option A is the discounted cash route, Option</w:t>
            </w:r>
          </w:p>
          <w:p>
            <w:pPr>
              <w:spacing w:after="40"/>
            </w:pPr>
            <w:r>
              <w:rPr>
                <w:color w:val="222222"/>
                <w:sz w:val="19"/>
              </w:rPr>
              <w:t>B is the full-price installment route.</w:t>
            </w:r>
          </w:p>
        </w:tc>
      </w:tr>
    </w:tbl>
    <w:p>
      <w:pPr>
        <w:spacing w:after="80"/>
      </w:pPr>
    </w:p>
    <w:tbl>
      <w:tblPr>
        <w:tblStyle w:val="TableGrid"/>
        <w:tblW w:type="auto" w:w="0"/>
        <w:jc w:val="center"/>
        <w:tblLook w:firstColumn="1" w:firstRow="1" w:lastColumn="0" w:lastRow="0" w:noHBand="0" w:noVBand="1" w:val="04A0"/>
      </w:tblPr>
      <w:tblGrid>
        <w:gridCol w:w="2880"/>
        <w:gridCol w:w="2880"/>
        <w:gridCol w:w="2880"/>
      </w:tblGrid>
      <w:tr>
        <w:tc>
          <w:tcPr>
            <w:tcW w:type="dxa" w:w="2304"/>
            <w:shd w:val="clear" w:color="auto" w:fill="1e293b"/>
          </w:tcPr>
          <w:p>
            <w:r>
              <w:rPr>
                <w:b/>
                <w:color w:val="FFFFFF"/>
                <w:sz w:val="20"/>
              </w:rPr>
            </w:r>
            <w:r>
              <w:rPr>
                <w:b/>
                <w:color w:val="FFFFFF"/>
                <w:sz w:val="20"/>
              </w:rPr>
              <w:t>Option</w:t>
            </w:r>
          </w:p>
        </w:tc>
        <w:tc>
          <w:tcPr>
            <w:tcW w:type="dxa" w:w="5904"/>
            <w:shd w:val="clear" w:color="auto" w:fill="1e293b"/>
          </w:tcPr>
          <w:p>
            <w:r>
              <w:rPr>
                <w:b/>
                <w:color w:val="FFFFFF"/>
                <w:sz w:val="20"/>
              </w:rPr>
            </w:r>
            <w:r>
              <w:rPr>
                <w:b/>
                <w:color w:val="FFFFFF"/>
                <w:sz w:val="20"/>
              </w:rPr>
              <w:t>Structure</w:t>
            </w:r>
          </w:p>
        </w:tc>
        <w:tc>
          <w:tcPr>
            <w:tcW w:type="dxa" w:w="2160"/>
            <w:shd w:val="clear" w:color="auto" w:fill="1e293b"/>
          </w:tcPr>
          <w:p>
            <w:r>
              <w:rPr>
                <w:b/>
                <w:color w:val="FFFFFF"/>
                <w:sz w:val="20"/>
              </w:rPr>
            </w:r>
            <w:r>
              <w:rPr>
                <w:b/>
                <w:color w:val="FFFFFF"/>
                <w:sz w:val="20"/>
              </w:rPr>
              <w:t>Total Consideration</w:t>
            </w:r>
          </w:p>
        </w:tc>
      </w:tr>
      <w:tr>
        <w:tc>
          <w:tcPr>
            <w:tcW w:type="dxa" w:w="2304"/>
          </w:tcPr>
          <w:p>
            <w:r/>
            <w:r>
              <w:rPr>
                <w:sz w:val="19"/>
              </w:rPr>
              <w:t>Option A — Single Payment</w:t>
            </w:r>
          </w:p>
        </w:tc>
        <w:tc>
          <w:tcPr>
            <w:tcW w:type="dxa" w:w="5904"/>
          </w:tcPr>
          <w:p>
            <w:r/>
            <w:r>
              <w:rPr>
                <w:sz w:val="19"/>
              </w:rPr>
              <w:t>One full and final payment of ₦300,000,000 on execution of the sale agreement (₦50,000,000 cash-payment discount off the standing offer price).</w:t>
            </w:r>
          </w:p>
        </w:tc>
        <w:tc>
          <w:tcPr>
            <w:tcW w:type="dxa" w:w="2160"/>
          </w:tcPr>
          <w:p>
            <w:r/>
            <w:r>
              <w:rPr>
                <w:sz w:val="19"/>
              </w:rPr>
              <w:t>₦300,000,000</w:t>
            </w:r>
          </w:p>
        </w:tc>
      </w:tr>
      <w:tr>
        <w:tc>
          <w:tcPr>
            <w:tcW w:type="dxa" w:w="2304"/>
          </w:tcPr>
          <w:p>
            <w:r/>
            <w:r>
              <w:rPr>
                <w:sz w:val="19"/>
              </w:rPr>
              <w:t>Option B — 2-Stage Payment</w:t>
            </w:r>
          </w:p>
        </w:tc>
        <w:tc>
          <w:tcPr>
            <w:tcW w:type="dxa" w:w="5904"/>
          </w:tcPr>
          <w:p>
            <w:r/>
            <w:r>
              <w:rPr>
                <w:sz w:val="19"/>
              </w:rPr>
              <w:t>First payment of ₦200,000,000 on execution of the sale agreement, balance of ₦150,000,000 due within 45 days (full standing offer price, no discount).</w:t>
            </w:r>
          </w:p>
        </w:tc>
        <w:tc>
          <w:tcPr>
            <w:tcW w:type="dxa" w:w="2160"/>
          </w:tcPr>
          <w:p>
            <w:r/>
            <w:r>
              <w:rPr>
                <w:sz w:val="19"/>
              </w:rPr>
              <w:t>₦350,000,000</w:t>
            </w:r>
          </w:p>
        </w:tc>
      </w:tr>
    </w:tbl>
    <w:p>
      <w:pPr>
        <w:spacing w:after="80"/>
      </w:pPr>
    </w:p>
    <w:p>
      <w:pPr>
        <w:spacing w:after="200" w:line="276" w:lineRule="auto"/>
      </w:pPr>
      <w:r>
        <w:rPr>
          <w:rFonts w:ascii="Calibri" w:hAnsi="Calibri"/>
          <w:b w:val="0"/>
          <w:color w:val="222222"/>
          <w:sz w:val="22"/>
        </w:rPr>
        <w:t xml:space="preserve">Under Option A, your all-in cost to complete and hold — purchase price plus completion — is </w:t>
      </w:r>
      <w:r>
        <w:rPr>
          <w:rFonts w:ascii="Calibri" w:hAnsi="Calibri"/>
          <w:b/>
          <w:color w:val="222222"/>
          <w:sz w:val="22"/>
        </w:rPr>
        <w:t>₦395,000,000</w:t>
      </w:r>
      <w:r>
        <w:rPr>
          <w:rFonts w:ascii="Calibri" w:hAnsi="Calibri"/>
          <w:b w:val="0"/>
          <w:color w:val="222222"/>
          <w:sz w:val="22"/>
        </w:rPr>
        <w:t xml:space="preserve"> against a ₦450,000,000 finished resale valuation: </w:t>
      </w:r>
      <w:r>
        <w:rPr>
          <w:rFonts w:ascii="Calibri" w:hAnsi="Calibri"/>
          <w:b/>
          <w:color w:val="222222"/>
          <w:sz w:val="22"/>
        </w:rPr>
        <w:t>₦55,000,000 in margin</w:t>
      </w:r>
      <w:r>
        <w:rPr>
          <w:rFonts w:ascii="Calibri" w:hAnsi="Calibri"/>
          <w:b w:val="0"/>
          <w:color w:val="222222"/>
          <w:sz w:val="22"/>
        </w:rPr>
        <w:t xml:space="preserve"> before you even market the finished unit. Under Option B, your all-in cost is </w:t>
      </w:r>
      <w:r>
        <w:rPr>
          <w:rFonts w:ascii="Calibri" w:hAnsi="Calibri"/>
          <w:b/>
          <w:color w:val="222222"/>
          <w:sz w:val="22"/>
        </w:rPr>
        <w:t>₦445,000,000</w:t>
      </w:r>
      <w:r>
        <w:rPr>
          <w:rFonts w:ascii="Calibri" w:hAnsi="Calibri"/>
          <w:b w:val="0"/>
          <w:color w:val="222222"/>
          <w:sz w:val="22"/>
        </w:rPr>
        <w:t xml:space="preserve"> — margin is tighter at this stage, but the two-payment structure preserves your working capital for the completion works themselves, which for a build-and-resell run is often the more useful trade-off.</w:t>
      </w:r>
    </w:p>
    <w:p>
      <w:pPr>
        <w:spacing w:after="160"/>
      </w:pPr>
      <w:r>
        <w:rPr>
          <w:rFonts w:ascii="Calibri" w:hAnsi="Calibri"/>
          <w:b/>
          <w:color w:val="0F172A"/>
          <w:sz w:val="26"/>
        </w:rPr>
        <w:t>7. Why Now</w:t>
      </w:r>
    </w:p>
    <w:p>
      <w:pPr>
        <w:spacing w:after="80" w:line="276" w:lineRule="auto"/>
      </w:pPr>
      <w:r>
        <w:rPr>
          <w:rFonts w:ascii="Calibri" w:hAnsi="Calibri"/>
          <w:b w:val="0"/>
          <w:i w:val="0"/>
          <w:color w:val="222222"/>
          <w:sz w:val="22"/>
        </w:rPr>
        <w:t>•  This is a fixed entry price at a fixed, verifiable construction stage — you priced the remaining work yourself on your site visit, so you know exactly what you are taking on.</w:t>
      </w:r>
    </w:p>
    <w:p>
      <w:pPr>
        <w:spacing w:after="80" w:line="276" w:lineRule="auto"/>
      </w:pPr>
      <w:r>
        <w:rPr>
          <w:rFonts w:ascii="Calibri" w:hAnsi="Calibri"/>
          <w:b w:val="0"/>
          <w:i w:val="0"/>
          <w:color w:val="222222"/>
          <w:sz w:val="22"/>
        </w:rPr>
        <w:t>•  The 4-lane super highway is already built, not proposed — the value driver behind the ₦450,000,000 resale comp is already in the ground.</w:t>
      </w:r>
    </w:p>
    <w:p>
      <w:pPr>
        <w:spacing w:after="80" w:line="276" w:lineRule="auto"/>
      </w:pPr>
      <w:r>
        <w:rPr>
          <w:rFonts w:ascii="Calibri" w:hAnsi="Calibri"/>
          <w:b w:val="0"/>
          <w:i w:val="0"/>
          <w:color w:val="222222"/>
          <w:sz w:val="22"/>
        </w:rPr>
        <w:t>•  Entry pricing at this pre-first-floor stage closes once first floor construction begins — pricing moves to a higher completion-stage basis from that point.</w:t>
      </w:r>
    </w:p>
    <w:p>
      <w:pPr>
        <w:spacing w:after="80" w:line="276" w:lineRule="auto"/>
      </w:pPr>
      <w:r>
        <w:rPr>
          <w:rFonts w:ascii="Calibri" w:hAnsi="Calibri"/>
          <w:b w:val="0"/>
          <w:i w:val="0"/>
          <w:color w:val="222222"/>
          <w:sz w:val="22"/>
        </w:rPr>
        <w:t>•  The ₦300,000,000 discounted cash price under Option A is available now, not indefinitely, and reverts to the ₦350,000,000 standing price (Option B terms) once this window closes.</w:t>
      </w:r>
    </w:p>
    <w:p/>
    <w:p>
      <w:pPr>
        <w:jc w:val="center"/>
      </w:pPr>
      <w:r>
        <w:rPr>
          <w:color w:val="B8860B"/>
          <w:sz w:val="28"/>
        </w:rPr>
        <w:t>— • —</w:t>
      </w:r>
    </w:p>
    <w:p/>
    <w:p>
      <w:pPr>
        <w:spacing w:after="280" w:line="276" w:lineRule="auto"/>
      </w:pPr>
      <w:r>
        <w:rPr>
          <w:rFonts w:ascii="Calibri" w:hAnsi="Calibri"/>
          <w:b w:val="0"/>
          <w:i/>
          <w:color w:val="222222"/>
          <w:sz w:val="22"/>
        </w:rPr>
        <w:t>This proposal is offered in good faith, as a personal courtesy through AVM Monday Riku Morgan (Rtd), before this unit is offered any further. Given your site visit and construction background, we're glad to sit down and walk through the completion scope and figures in more detail whenever useful — with AVM Morgan or independently.</w:t>
      </w:r>
    </w:p>
    <w:p>
      <w:pPr>
        <w:spacing w:after="40" w:line="276" w:lineRule="auto"/>
      </w:pPr>
      <w:r>
        <w:rPr>
          <w:rFonts w:ascii="Calibri" w:hAnsi="Calibri"/>
          <w:b/>
          <w:i w:val="0"/>
          <w:color w:val="222222"/>
          <w:sz w:val="24"/>
        </w:rPr>
        <w:t>Tom Ugbodaga</w:t>
      </w:r>
    </w:p>
    <w:p>
      <w:pPr>
        <w:spacing w:after="40" w:line="276" w:lineRule="auto"/>
      </w:pPr>
      <w:r>
        <w:rPr>
          <w:rFonts w:ascii="Calibri" w:hAnsi="Calibri"/>
          <w:b w:val="0"/>
          <w:i w:val="0"/>
          <w:color w:val="222222"/>
          <w:sz w:val="22"/>
        </w:rPr>
        <w:t>Shareholder &amp; CEO, BETONIQ WEST LTD</w:t>
      </w:r>
    </w:p>
    <w:p>
      <w:pPr>
        <w:spacing w:after="40" w:line="276" w:lineRule="auto"/>
      </w:pPr>
      <w:r>
        <w:rPr>
          <w:rFonts w:ascii="Calibri" w:hAnsi="Calibri"/>
          <w:b w:val="0"/>
          <w:i/>
          <w:color w:val="222222"/>
          <w:sz w:val="21"/>
        </w:rPr>
        <w:t>On behalf of the Katamkpe Estate Development</w:t>
      </w:r>
    </w:p>
    <w:p>
      <w:pPr>
        <w:spacing w:after="40" w:line="276" w:lineRule="auto"/>
      </w:pPr>
      <w:r>
        <w:rPr>
          <w:rFonts w:ascii="Calibri" w:hAnsi="Calibri"/>
          <w:b w:val="0"/>
          <w:i/>
          <w:color w:val="222222"/>
          <w:sz w:val="21"/>
        </w:rPr>
        <w:t>With the personal introduction of AVM Monday Riku Morgan (Rtd), Chairman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