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468C"/>
          <w:sz w:val="30"/>
        </w:rPr>
        <w:t>BETONIQ WEST LTD</w:t>
      </w:r>
    </w:p>
    <w:p>
      <w:pPr>
        <w:spacing w:before="0" w:after="40"/>
        <w:jc w:val="center"/>
      </w:pPr>
      <w:r>
        <w:rPr>
          <w:b w:val="0"/>
          <w:color w:val="646464"/>
          <w:sz w:val="18"/>
        </w:rPr>
        <w:t>RC 1496603  |  D26 Flat 1, 25th Street, AMAC, FCT, Abuja, Nigeria</w:t>
      </w:r>
    </w:p>
    <w:p>
      <w:pPr>
        <w:spacing w:before="0" w:after="80"/>
        <w:jc w:val="center"/>
      </w:pPr>
      <w:r>
        <w:rPr>
          <w:b w:val="0"/>
          <w:color w:val="646464"/>
          <w:sz w:val="18"/>
        </w:rPr>
        <w:t>zeropointfeild_nonwnt@zeropay.site  |  https://curious-pithivier-cff79f.netlify.app</w:t>
      </w:r>
    </w:p>
    <w:p>
      <w:pPr>
        <w:spacing w:before="40" w:after="40"/>
      </w:pPr>
      <w:r>
        <w:rPr>
          <w:color w:val="B4B4B4"/>
          <w:sz w:val="16"/>
        </w:rPr>
        <w:t>────────────────────────────────────────────────────────────────────────</w:t>
      </w:r>
    </w:p>
    <w:p>
      <w:pPr>
        <w:spacing w:before="120" w:after="40"/>
        <w:jc w:val="center"/>
      </w:pPr>
      <w:r>
        <w:rPr>
          <w:b/>
          <w:color w:val="1E468C"/>
          <w:sz w:val="26"/>
        </w:rPr>
        <w:t>JOINT VENTURE PARTNERSHIP — HEADS OF TERMS</w:t>
      </w:r>
    </w:p>
    <w:p>
      <w:pPr>
        <w:spacing w:before="0" w:after="40"/>
        <w:jc w:val="center"/>
      </w:pPr>
      <w:r>
        <w:rPr>
          <w:b/>
          <w:sz w:val="22"/>
        </w:rPr>
        <w:t>BETONIQ WEST LTD  &amp;  KWATI GROUP</w:t>
      </w:r>
    </w:p>
    <w:p>
      <w:pPr>
        <w:spacing w:before="0" w:after="120"/>
        <w:jc w:val="center"/>
      </w:pPr>
      <w:r>
        <w:rPr>
          <w:b w:val="0"/>
          <w:color w:val="828282"/>
          <w:sz w:val="18"/>
        </w:rPr>
        <w:t>Prepared: August 14, 2026 (revised)  |  STRICTLY PRIVATE &amp; CONFIDENTIAL</w:t>
      </w:r>
    </w:p>
    <w:p>
      <w:pPr>
        <w:spacing w:before="40" w:after="40"/>
      </w:pPr>
      <w:r>
        <w:rPr>
          <w:color w:val="B4B4B4"/>
          <w:sz w:val="16"/>
        </w:rPr>
        <w:t>────────────────────────────────────────────────────────────────────────</w:t>
      </w:r>
    </w:p>
    <w:p>
      <w:pPr>
        <w:spacing w:before="160" w:after="80"/>
        <w:jc w:val="left"/>
      </w:pPr>
      <w:r>
        <w:rPr>
          <w:b/>
          <w:color w:val="1E468C"/>
          <w:sz w:val="22"/>
        </w:rPr>
        <w:t>1.  THE PARTIES</w:t>
      </w:r>
    </w:p>
    <w:tbl>
      <w:tblPr>
        <w:tblStyle w:val="TableGrid"/>
        <w:tblW w:type="auto" w:w="0"/>
        <w:jc w:val="center"/>
        <w:tblLook w:firstColumn="1" w:firstRow="1" w:lastColumn="0" w:lastRow="0" w:noHBand="0" w:noVBand="1" w:val="04A0"/>
      </w:tblPr>
      <w:tblGrid>
        <w:gridCol w:w="4873"/>
        <w:gridCol w:w="4873"/>
      </w:tblGrid>
      <w:tr>
        <w:tc>
          <w:tcPr>
            <w:tcW w:type="dxa" w:w="4535"/>
          </w:tcPr>
          <w:p>
            <w:r>
              <w:rPr>
                <w:b/>
                <w:color w:val="1E468C"/>
                <w:sz w:val="20"/>
              </w:rPr>
              <w:t>BETONIQ WEST LTD</w:t>
            </w:r>
          </w:p>
        </w:tc>
        <w:tc>
          <w:tcPr>
            <w:tcW w:type="dxa" w:w="4535"/>
          </w:tcPr>
          <w:p>
            <w:r>
              <w:rPr>
                <w:b/>
                <w:color w:val="1E468C"/>
                <w:sz w:val="20"/>
              </w:rPr>
              <w:t>KWATI GROUP</w:t>
            </w:r>
          </w:p>
        </w:tc>
      </w:tr>
      <w:tr>
        <w:tc>
          <w:tcPr>
            <w:tcW w:type="dxa" w:w="4535"/>
          </w:tcPr>
          <w:p>
            <w:r>
              <w:rPr>
                <w:sz w:val="18"/>
              </w:rPr>
              <w:t>RC 1496603, Abuja, Nigeria</w:t>
              <w:br/>
              <w:t>Shareholder &amp; CEO: Tom Ugbodaga</w:t>
              <w:br/>
              <w:t>Exec Vice Chairman: Air Vice Marshal</w:t>
              <w:br/>
              <w:t>Monday Riku Morgan (Rtd)</w:t>
              <w:br/>
              <w:t>Sector: PropTech / FinTech / Real Estate</w:t>
            </w:r>
          </w:p>
        </w:tc>
        <w:tc>
          <w:tcPr>
            <w:tcW w:type="dxa" w:w="4535"/>
          </w:tcPr>
          <w:p>
            <w:r>
              <w:rPr>
                <w:sz w:val="18"/>
              </w:rPr>
              <w:t>Abuja, Nigeria</w:t>
              <w:br/>
              <w:t>Chairman: Wisdom Kwati</w:t>
              <w:br/>
              <w:t>Sector: Real Estate / Defence Technology</w:t>
              <w:br/>
              <w:t>(Drone Manufacturing &amp; Commercial)</w:t>
              <w:br/>
              <w:t>Asset: 100 Hectares of Prime Development Land</w:t>
            </w:r>
          </w:p>
        </w:tc>
      </w:tr>
    </w:tbl>
    <w:p/>
    <w:p>
      <w:pPr>
        <w:spacing w:before="120" w:after="80"/>
        <w:jc w:val="left"/>
      </w:pPr>
      <w:r>
        <w:rPr>
          <w:b/>
          <w:color w:val="1E468C"/>
          <w:sz w:val="22"/>
        </w:rPr>
        <w:t>2.  THE OPPORTUNITY</w:t>
      </w:r>
    </w:p>
    <w:p>
      <w:pPr>
        <w:spacing w:before="0" w:after="80"/>
        <w:jc w:val="left"/>
      </w:pPr>
      <w:r>
        <w:rPr>
          <w:b w:val="0"/>
          <w:sz w:val="20"/>
        </w:rPr>
        <w:t>Nigeria faces a critical shortage of quality military and civilian housing infrastructure. The Nigerian Air Force and Nigerian Army have a standing national requirement for officer and enlisted housing, administrative facilities, and operational infrastructure across Abuja and key strategic locations nationwide.</w:t>
      </w:r>
    </w:p>
    <w:p>
      <w:pPr>
        <w:spacing w:before="0" w:after="80"/>
        <w:jc w:val="left"/>
      </w:pPr>
      <w:r>
        <w:rPr>
          <w:b w:val="0"/>
          <w:sz w:val="20"/>
        </w:rPr>
        <w:t>BETONIQ WEST LTD, backed by a retired Air Vice Marshal with deep connections across the Nigerian Armed Forces and Ministry of Defence, is uniquely positioned to design, develop and deliver this infrastructure. Kwati Group's 100-hectare land holding provides the critical foundation asset for Phase 1 development.</w:t>
      </w:r>
    </w:p>
    <w:p>
      <w:pPr>
        <w:spacing w:before="120" w:after="80"/>
        <w:jc w:val="left"/>
      </w:pPr>
      <w:r>
        <w:rPr>
          <w:b/>
          <w:color w:val="1E468C"/>
          <w:sz w:val="22"/>
        </w:rPr>
        <w:t>3.  PROPOSED JV STRUCTURE</w:t>
      </w:r>
    </w:p>
    <w:tbl>
      <w:tblPr>
        <w:tblStyle w:val="TableGrid"/>
        <w:tblW w:type="auto" w:w="0"/>
        <w:jc w:val="center"/>
        <w:tblLook w:firstColumn="1" w:firstRow="1" w:lastColumn="0" w:lastRow="0" w:noHBand="0" w:noVBand="1" w:val="04A0"/>
      </w:tblPr>
      <w:tblGrid>
        <w:gridCol w:w="4873"/>
        <w:gridCol w:w="4873"/>
      </w:tblGrid>
      <w:tr>
        <w:tc>
          <w:tcPr>
            <w:tcW w:type="dxa" w:w="4873"/>
          </w:tcPr>
          <w:p>
            <w:r>
              <w:rPr>
                <w:b/>
                <w:sz w:val="18"/>
              </w:rPr>
              <w:t>JV Entity</w:t>
            </w:r>
          </w:p>
        </w:tc>
        <w:tc>
          <w:tcPr>
            <w:tcW w:type="dxa" w:w="4873"/>
          </w:tcPr>
          <w:p>
            <w:r>
              <w:rPr>
                <w:sz w:val="18"/>
              </w:rPr>
              <w:t>BETONIQ WEST KWATI DEVELOPMENT LTD (proposed)</w:t>
              <w:br/>
              <w:t>New SPV — jointly incorporated, Abuja, Nigeria</w:t>
            </w:r>
          </w:p>
        </w:tc>
      </w:tr>
      <w:tr>
        <w:tc>
          <w:tcPr>
            <w:tcW w:type="dxa" w:w="4873"/>
          </w:tcPr>
          <w:p>
            <w:r>
              <w:rPr>
                <w:b/>
                <w:sz w:val="18"/>
              </w:rPr>
              <w:t>Kwati Group Contribution</w:t>
            </w:r>
          </w:p>
        </w:tc>
        <w:tc>
          <w:tcPr>
            <w:tcW w:type="dxa" w:w="4873"/>
          </w:tcPr>
          <w:p>
            <w:r>
              <w:rPr>
                <w:sz w:val="18"/>
              </w:rPr>
              <w:t>100 Hectares of prime development land</w:t>
              <w:br/>
              <w:t>(valued independently at market rate as equity-in-kind)</w:t>
              <w:br/>
              <w:t>Kwati Board Director seat in BETONIQ WEST LTD</w:t>
            </w:r>
          </w:p>
        </w:tc>
      </w:tr>
      <w:tr>
        <w:tc>
          <w:tcPr>
            <w:tcW w:type="dxa" w:w="4873"/>
          </w:tcPr>
          <w:p>
            <w:r>
              <w:rPr>
                <w:b/>
                <w:sz w:val="18"/>
              </w:rPr>
              <w:t>BETONIQ WEST Contribution</w:t>
            </w:r>
          </w:p>
        </w:tc>
        <w:tc>
          <w:tcPr>
            <w:tcW w:type="dxa" w:w="4873"/>
          </w:tcPr>
          <w:p>
            <w:r>
              <w:rPr>
                <w:sz w:val="18"/>
              </w:rPr>
              <w:t>Project origination, design &amp; planning</w:t>
              <w:br/>
              <w:t>Military procurement access via AVM Morgan</w:t>
              <w:br/>
              <w:t>FinTech payment infrastructure (ZeroPay)</w:t>
              <w:br/>
              <w:t>Full project management &amp; investor relations</w:t>
            </w:r>
          </w:p>
        </w:tc>
      </w:tr>
      <w:tr>
        <w:tc>
          <w:tcPr>
            <w:tcW w:type="dxa" w:w="4873"/>
          </w:tcPr>
          <w:p>
            <w:r>
              <w:rPr>
                <w:b/>
                <w:sz w:val="18"/>
              </w:rPr>
              <w:t>Equity Split</w:t>
            </w:r>
          </w:p>
        </w:tc>
        <w:tc>
          <w:tcPr>
            <w:tcW w:type="dxa" w:w="4873"/>
          </w:tcPr>
          <w:p>
            <w:r>
              <w:rPr>
                <w:sz w:val="18"/>
              </w:rPr>
              <w:t>Subject to independent land valuation</w:t>
              <w:br/>
              <w:t>Indicative: 50/50 or proportional to asset contributions</w:t>
              <w:br/>
              <w:t>To be confirmed in full JV Agreement</w:t>
            </w:r>
          </w:p>
        </w:tc>
      </w:tr>
      <w:tr>
        <w:tc>
          <w:tcPr>
            <w:tcW w:type="dxa" w:w="4873"/>
          </w:tcPr>
          <w:p>
            <w:r>
              <w:rPr>
                <w:b/>
                <w:sz w:val="18"/>
              </w:rPr>
              <w:t>Phase 1 Development</w:t>
            </w:r>
          </w:p>
        </w:tc>
        <w:tc>
          <w:tcPr>
            <w:tcW w:type="dxa" w:w="4873"/>
          </w:tcPr>
          <w:p>
            <w:r>
              <w:rPr>
                <w:sz w:val="18"/>
              </w:rPr>
              <w:t>Military &amp; civilian housing: Abuja FCT</w:t>
              <w:br/>
              <w:t>Estimated GDV: ₦15 Billion — ₦25 Billion</w:t>
              <w:br/>
              <w:t>Timeline: 36 months from financial close</w:t>
            </w:r>
          </w:p>
        </w:tc>
      </w:tr>
      <w:tr>
        <w:tc>
          <w:tcPr>
            <w:tcW w:type="dxa" w:w="4873"/>
          </w:tcPr>
          <w:p>
            <w:r>
              <w:rPr>
                <w:b/>
                <w:sz w:val="18"/>
              </w:rPr>
              <w:t>Profit Distribution</w:t>
            </w:r>
          </w:p>
        </w:tc>
        <w:tc>
          <w:tcPr>
            <w:tcW w:type="dxa" w:w="4873"/>
          </w:tcPr>
          <w:p>
            <w:r>
              <w:rPr>
                <w:sz w:val="18"/>
              </w:rPr>
              <w:t>Quarterly distributions post-construction sales</w:t>
              <w:br/>
              <w:t>Pro-rata per agreed equity structure</w:t>
            </w:r>
          </w:p>
        </w:tc>
      </w:tr>
    </w:tbl>
    <w:p/>
    <w:p>
      <w:pPr>
        <w:spacing w:before="120" w:after="80"/>
        <w:jc w:val="left"/>
      </w:pPr>
      <w:r>
        <w:rPr>
          <w:b/>
          <w:color w:val="1E468C"/>
          <w:sz w:val="22"/>
        </w:rPr>
        <w:t>4.  AVM MORGAN'S FORMAL COMMITMENT</w:t>
      </w:r>
    </w:p>
    <w:p>
      <w:pPr>
        <w:spacing w:before="0" w:after="60"/>
        <w:jc w:val="left"/>
      </w:pPr>
      <w:r>
        <w:rPr>
          <w:b w:val="0"/>
          <w:sz w:val="20"/>
        </w:rPr>
        <w:t>Air Vice Marshal Monday Riku Morgan (Rtd) confirms his commitment as:</w:t>
      </w:r>
    </w:p>
    <w:p>
      <w:pPr>
        <w:pStyle w:val="ListBullet"/>
        <w:spacing w:after="40"/>
      </w:pPr>
      <w:r>
        <w:rPr>
          <w:sz w:val="20"/>
        </w:rPr>
        <w:t>Executive Vice Chairman — BETONIQ WEST LTD (current)</w:t>
      </w:r>
    </w:p>
    <w:p>
      <w:pPr>
        <w:pStyle w:val="ListBullet"/>
        <w:spacing w:after="40"/>
      </w:pPr>
      <w:r>
        <w:rPr>
          <w:sz w:val="20"/>
        </w:rPr>
        <w:t>Chairman — Kwati Group Defence Company (to be formalised this week)</w:t>
      </w:r>
    </w:p>
    <w:p>
      <w:pPr>
        <w:pStyle w:val="ListBullet"/>
        <w:spacing w:after="40"/>
      </w:pPr>
      <w:r>
        <w:rPr>
          <w:sz w:val="20"/>
        </w:rPr>
        <w:t>Military liaison and procurement contact for all NAFI / Nigerian Armed Forces housing projects</w:t>
      </w:r>
    </w:p>
    <w:p/>
    <w:p>
      <w:pPr>
        <w:spacing w:before="120" w:after="80"/>
        <w:jc w:val="left"/>
      </w:pPr>
      <w:r>
        <w:rPr>
          <w:b/>
          <w:color w:val="1E468C"/>
          <w:sz w:val="22"/>
        </w:rPr>
        <w:t>5.  AGREED NEXT STEPS — THIS WEEK</w:t>
      </w:r>
    </w:p>
    <w:tbl>
      <w:tblPr>
        <w:tblStyle w:val="TableGrid"/>
        <w:tblW w:type="auto" w:w="0"/>
        <w:tblLook w:firstColumn="1" w:firstRow="1" w:lastColumn="0" w:lastRow="0" w:noHBand="0" w:noVBand="1" w:val="04A0"/>
      </w:tblPr>
      <w:tblGrid>
        <w:gridCol w:w="4873"/>
        <w:gridCol w:w="4873"/>
      </w:tblGrid>
      <w:tr>
        <w:tc>
          <w:tcPr>
            <w:tcW w:type="dxa" w:w="4873"/>
          </w:tcPr>
          <w:p>
            <w:r>
              <w:rPr>
                <w:b/>
                <w:color w:val="1E468C"/>
                <w:sz w:val="18"/>
              </w:rPr>
              <w:t>Step 1 — By Aug 17:</w:t>
            </w:r>
          </w:p>
        </w:tc>
        <w:tc>
          <w:tcPr>
            <w:tcW w:type="dxa" w:w="4873"/>
          </w:tcPr>
          <w:p>
            <w:r>
              <w:rPr>
                <w:sz w:val="18"/>
              </w:rPr>
              <w:t>Kwati Group confirms in-principle acceptance of JV Heads of Terms</w:t>
            </w:r>
          </w:p>
        </w:tc>
      </w:tr>
      <w:tr>
        <w:tc>
          <w:tcPr>
            <w:tcW w:type="dxa" w:w="4873"/>
          </w:tcPr>
          <w:p>
            <w:r>
              <w:rPr>
                <w:b/>
                <w:color w:val="1E468C"/>
                <w:sz w:val="18"/>
              </w:rPr>
              <w:t>Step 2 — By Aug 20:</w:t>
            </w:r>
          </w:p>
        </w:tc>
        <w:tc>
          <w:tcPr>
            <w:tcW w:type="dxa" w:w="4873"/>
          </w:tcPr>
          <w:p>
            <w:r>
              <w:rPr>
                <w:sz w:val="18"/>
              </w:rPr>
              <w:t>NDA executed between both parties (BETONIQ WEST NDA — already prepared)</w:t>
            </w:r>
          </w:p>
        </w:tc>
      </w:tr>
      <w:tr>
        <w:tc>
          <w:tcPr>
            <w:tcW w:type="dxa" w:w="4873"/>
          </w:tcPr>
          <w:p>
            <w:r>
              <w:rPr>
                <w:b/>
                <w:color w:val="1E468C"/>
                <w:sz w:val="18"/>
              </w:rPr>
              <w:t>Step 3 — By Aug 24:</w:t>
            </w:r>
          </w:p>
        </w:tc>
        <w:tc>
          <w:tcPr>
            <w:tcW w:type="dxa" w:w="4873"/>
          </w:tcPr>
          <w:p>
            <w:r>
              <w:rPr>
                <w:sz w:val="18"/>
              </w:rPr>
              <w:t>Independent land valuation commissioned for 100ha asset</w:t>
            </w:r>
          </w:p>
        </w:tc>
      </w:tr>
      <w:tr>
        <w:tc>
          <w:tcPr>
            <w:tcW w:type="dxa" w:w="4873"/>
          </w:tcPr>
          <w:p>
            <w:r>
              <w:rPr>
                <w:b/>
                <w:color w:val="1E468C"/>
                <w:sz w:val="18"/>
              </w:rPr>
              <w:t>Step 4 — By Aug 28:</w:t>
            </w:r>
          </w:p>
        </w:tc>
        <w:tc>
          <w:tcPr>
            <w:tcW w:type="dxa" w:w="4873"/>
          </w:tcPr>
          <w:p>
            <w:r>
              <w:rPr>
                <w:sz w:val="18"/>
              </w:rPr>
              <w:t>Full JV Agreement drafted by solicitors — both parties review</w:t>
            </w:r>
          </w:p>
        </w:tc>
      </w:tr>
      <w:tr>
        <w:tc>
          <w:tcPr>
            <w:tcW w:type="dxa" w:w="4873"/>
          </w:tcPr>
          <w:p>
            <w:r>
              <w:rPr>
                <w:b/>
                <w:color w:val="1E468C"/>
                <w:sz w:val="18"/>
              </w:rPr>
              <w:t>Step 5 — By Sep 5:</w:t>
            </w:r>
          </w:p>
        </w:tc>
        <w:tc>
          <w:tcPr>
            <w:tcW w:type="dxa" w:w="4873"/>
          </w:tcPr>
          <w:p>
            <w:r>
              <w:rPr>
                <w:sz w:val="18"/>
              </w:rPr>
              <w:t>JV Agreement signed. SPV incorporated. Phase 1 launch announced.</w:t>
            </w:r>
          </w:p>
        </w:tc>
      </w:tr>
    </w:tbl>
    <w:p/>
    <w:p>
      <w:pPr>
        <w:spacing w:before="40" w:after="40"/>
      </w:pPr>
      <w:r>
        <w:rPr>
          <w:color w:val="B4B4B4"/>
          <w:sz w:val="16"/>
        </w:rPr>
        <w:t>────────────────────────────────────────────────────────────────────────</w:t>
      </w:r>
    </w:p>
    <w:p>
      <w:r>
        <w:rPr>
          <w:color w:val="444444"/>
          <w:sz w:val="16"/>
        </w:rPr>
        <w:t>──────────────────────────────────────────────────────────────────────────</w:t>
      </w:r>
    </w:p>
    <w:p>
      <w:pPr>
        <w:spacing w:before="200" w:after="120"/>
      </w:pPr>
      <w:r>
        <w:rPr>
          <w:b/>
          <w:color w:val="B00020"/>
          <w:sz w:val="26"/>
        </w:rPr>
        <w:t>6.  ZERÔPÂŶ MONEY FINTECH INVESTMENT — TRANCHE-GATED CASH RELEASE (NIGER STATE POC)</w:t>
      </w:r>
    </w:p>
    <w:p>
      <w:pPr>
        <w:spacing w:after="160"/>
      </w:pPr>
      <w:r>
        <w:rPr>
          <w:b w:val="0"/>
          <w:i w:val="0"/>
          <w:color w:val="111111"/>
          <w:sz w:val="21"/>
        </w:rPr>
        <w:t>In addition to the real estate JV structure above, this Heads of Terms also binds the parties to the ZerôPâŷ Money fintech investment described in the companion Full Fintech Offer document. Total cash ask: $500,000 for the Niger State proof-of-concept phase, released in three tranches gated to specific, verifiable milestones rather than as a single lump sum.</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Tranche</w:t>
            </w:r>
          </w:p>
        </w:tc>
        <w:tc>
          <w:tcPr>
            <w:tcW w:type="dxa" w:w="3249"/>
          </w:tcPr>
          <w:p>
            <w:r>
              <w:rPr>
                <w:b/>
              </w:rPr>
              <w:t>Amount</w:t>
            </w:r>
          </w:p>
        </w:tc>
        <w:tc>
          <w:tcPr>
            <w:tcW w:type="dxa" w:w="3249"/>
          </w:tcPr>
          <w:p>
            <w:r>
              <w:rPr>
                <w:b/>
              </w:rPr>
              <w:t>Release Condition</w:t>
            </w:r>
          </w:p>
        </w:tc>
      </w:tr>
      <w:tr>
        <w:tc>
          <w:tcPr>
            <w:tcW w:type="dxa" w:w="3249"/>
          </w:tcPr>
          <w:p>
            <w:r>
              <w:t>Tranche 1</w:t>
            </w:r>
          </w:p>
        </w:tc>
        <w:tc>
          <w:tcPr>
            <w:tcW w:type="dxa" w:w="3249"/>
          </w:tcPr>
          <w:p>
            <w:r>
              <w:t>$180,000</w:t>
            </w:r>
          </w:p>
        </w:tc>
        <w:tc>
          <w:tcPr>
            <w:tcW w:type="dxa" w:w="3249"/>
          </w:tcPr>
          <w:p>
            <w:r>
              <w:t>On signing of this Heads of Terms and execution of the full JV Agreement — covers PSSP/PTSP/Super-Agent licensing capital and CBN Regulatory Sandbox application costs.</w:t>
            </w:r>
          </w:p>
        </w:tc>
      </w:tr>
      <w:tr>
        <w:tc>
          <w:tcPr>
            <w:tcW w:type="dxa" w:w="3249"/>
          </w:tcPr>
          <w:p>
            <w:r>
              <w:t>Tranche 2</w:t>
            </w:r>
          </w:p>
        </w:tc>
        <w:tc>
          <w:tcPr>
            <w:tcW w:type="dxa" w:w="3249"/>
          </w:tcPr>
          <w:p>
            <w:r>
              <w:t>$200,000</w:t>
            </w:r>
          </w:p>
        </w:tc>
        <w:tc>
          <w:tcPr>
            <w:tcW w:type="dxa" w:w="3249"/>
          </w:tcPr>
          <w:p>
            <w:r>
              <w:t>On confirmed CBN Sandbox approval and completed hardware procurement — covers terminal/hub manufacturing and Niger State field deployment.</w:t>
            </w:r>
          </w:p>
        </w:tc>
      </w:tr>
      <w:tr>
        <w:tc>
          <w:tcPr>
            <w:tcW w:type="dxa" w:w="3249"/>
          </w:tcPr>
          <w:p>
            <w:r>
              <w:t>Tranche 3</w:t>
            </w:r>
          </w:p>
        </w:tc>
        <w:tc>
          <w:tcPr>
            <w:tcW w:type="dxa" w:w="3249"/>
          </w:tcPr>
          <w:p>
            <w:r>
              <w:t>$120,000</w:t>
            </w:r>
          </w:p>
        </w:tc>
        <w:tc>
          <w:tcPr>
            <w:tcW w:type="dxa" w:w="3249"/>
          </w:tcPr>
          <w:p>
            <w:r>
              <w:t>On delivery of a clean independent lab attack-test validation report (FIME/UL-equivalent) and Niger State POC going live — covers 6-month field operations, community liaison, and security ops.</w:t>
            </w:r>
          </w:p>
        </w:tc>
      </w:tr>
    </w:tbl>
    <w:p>
      <w:pPr>
        <w:spacing w:after="160"/>
      </w:pPr>
      <w:r>
        <w:rPr>
          <w:b w:val="0"/>
          <w:i/>
          <w:color w:val="444444"/>
          <w:sz w:val="19"/>
        </w:rPr>
        <w:t>Each tranche release requires Kwati Group's written confirmation that the corresponding milestone has been independently verified, consistent with the same escrow-gated capital safety principle already used elsewhere in this partnership. Detailed zone-by-zone rollout dates and the full licensing timeline are set out in the companion ZerôPâŷ Money Full Fintech Offer document and are incorporated here by reference.</w:t>
      </w:r>
    </w:p>
    <w:p>
      <w:pPr>
        <w:spacing w:before="120" w:after="80"/>
        <w:jc w:val="left"/>
      </w:pPr>
      <w:r>
        <w:rPr>
          <w:b/>
          <w:color w:val="1E468C"/>
          <w:sz w:val="22"/>
        </w:rPr>
        <w:t>7.  ACCEPTANCE</w:t>
      </w:r>
    </w:p>
    <w:p>
      <w:pPr>
        <w:spacing w:before="0" w:after="160"/>
        <w:jc w:val="left"/>
      </w:pPr>
      <w:r>
        <w:rPr>
          <w:b w:val="0"/>
          <w:color w:val="646464"/>
          <w:sz w:val="18"/>
        </w:rPr>
        <w:t>These Heads of Terms are non-binding pending execution of a full Joint Venture Agreement. Acceptance of this document constitutes agreement to proceed in good faith to a binding JV Agreement within the timeline set out in Section 5.</w:t>
      </w:r>
    </w:p>
    <w:tbl>
      <w:tblPr>
        <w:tblStyle w:val="TableGrid"/>
        <w:tblW w:type="auto" w:w="0"/>
        <w:tblLook w:firstColumn="1" w:firstRow="1" w:lastColumn="0" w:lastRow="0" w:noHBand="0" w:noVBand="1" w:val="04A0"/>
      </w:tblPr>
      <w:tblGrid>
        <w:gridCol w:w="4873"/>
        <w:gridCol w:w="4873"/>
      </w:tblGrid>
      <w:tr>
        <w:tc>
          <w:tcPr>
            <w:tcW w:type="dxa" w:w="4873"/>
          </w:tcPr>
          <w:p>
            <w:r>
              <w:rPr>
                <w:b/>
                <w:sz w:val="18"/>
              </w:rPr>
              <w:t>For: BETONIQ WEST LTD</w:t>
            </w:r>
          </w:p>
        </w:tc>
        <w:tc>
          <w:tcPr>
            <w:tcW w:type="dxa" w:w="4873"/>
          </w:tcPr>
          <w:p>
            <w:r>
              <w:rPr>
                <w:b/>
                <w:sz w:val="18"/>
              </w:rPr>
              <w:t>For: KWATI GROUP</w:t>
            </w:r>
          </w:p>
        </w:tc>
      </w:tr>
      <w:tr>
        <w:tc>
          <w:tcPr>
            <w:tcW w:type="dxa" w:w="4873"/>
          </w:tcPr>
          <w:p>
            <w:r>
              <w:rPr>
                <w:sz w:val="18"/>
              </w:rPr>
              <w:t>Name: Tom Ugbodaga</w:t>
              <w:br/>
              <w:t>Title: Shareholder &amp; CEO</w:t>
              <w:br/>
              <w:t>Date: ________________</w:t>
            </w:r>
          </w:p>
        </w:tc>
        <w:tc>
          <w:tcPr>
            <w:tcW w:type="dxa" w:w="4873"/>
          </w:tcPr>
          <w:p>
            <w:r>
              <w:rPr>
                <w:sz w:val="18"/>
              </w:rPr>
              <w:t>Name: Wisdom Kwati</w:t>
              <w:br/>
              <w:t>Title: Chairman</w:t>
              <w:br/>
              <w:t>Date: ________________</w:t>
            </w:r>
          </w:p>
        </w:tc>
      </w:tr>
      <w:tr>
        <w:tc>
          <w:tcPr>
            <w:tcW w:type="dxa" w:w="4873"/>
          </w:tcPr>
          <w:p>
            <w:r>
              <w:rPr>
                <w:sz w:val="18"/>
              </w:rPr>
              <w:t>Signature: ________________</w:t>
            </w:r>
          </w:p>
        </w:tc>
        <w:tc>
          <w:tcPr>
            <w:tcW w:type="dxa" w:w="4873"/>
          </w:tcPr>
          <w:p>
            <w:r>
              <w:rPr>
                <w:sz w:val="18"/>
              </w:rPr>
              <w:t>Signature: ________________</w:t>
            </w:r>
          </w:p>
        </w:tc>
      </w:tr>
    </w:tbl>
    <w:p>
      <w:pPr>
        <w:spacing w:before="40" w:after="40"/>
      </w:pPr>
      <w:r>
        <w:rPr>
          <w:color w:val="B4B4B4"/>
          <w:sz w:val="16"/>
        </w:rPr>
        <w:t>────────────────────────────────────────────────────────────────────────</w:t>
      </w:r>
    </w:p>
    <w:p>
      <w:pPr>
        <w:spacing w:before="80" w:after="0"/>
        <w:jc w:val="center"/>
      </w:pPr>
      <w:r>
        <w:rPr>
          <w:b w:val="0"/>
          <w:color w:val="969696"/>
          <w:sz w:val="16"/>
        </w:rPr>
        <w:t>BETONIQ WEST LTD  |  RC 1496603  |  zeropointfeild_nonwnt@zeropay.site  |  Strictly Confidential — August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