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1A"/>
          <w:sz w:val="44"/>
        </w:rPr>
        <w:t>KATAMPE TERRACE RESIDENCES</w:t>
      </w:r>
    </w:p>
    <w:p>
      <w:pPr>
        <w:jc w:val="center"/>
      </w:pPr>
      <w:r>
        <w:rPr>
          <w:i/>
          <w:color w:val="B8860B"/>
          <w:sz w:val="26"/>
        </w:rPr>
        <w:t>Investment Teaser — BETONIQ WEST LTD (RC 1496603)</w:t>
      </w:r>
    </w:p>
    <w:p/>
    <w:p>
      <w:pPr>
        <w:spacing w:before="200" w:after="80"/>
      </w:pPr>
      <w:r>
        <w:rPr>
          <w:b/>
          <w:color w:val="B8860B"/>
          <w:sz w:val="26"/>
        </w:rPr>
        <w:t>The Opportunity</w:t>
      </w:r>
    </w:p>
    <w:p>
      <w:pPr>
        <w:spacing w:after="160"/>
      </w:pPr>
      <w:r>
        <w:t>Nine premium terrace units in Katampe District, Abuja, one of the city's most sought-after residential zones for diplomats, senior government officials, and expatriates. Set on a 2,147 sqm plot (Plot No 2147, Cadastral Zone B07, FCDA approval file FCDA/DC/BP/RSD/PHS/II/29414, approved 31/7/2024), arranged in an L-shaped configuration: five units parallel to the Major Access Road joined at a right angle to four units, with two dedicated parking spaces per unit and landscaped green lawns.</w:t>
      </w:r>
    </w:p>
    <w:p>
      <w:pPr>
        <w:spacing w:before="200" w:after="80"/>
      </w:pPr>
      <w:r>
        <w:rPr>
          <w:b/>
          <w:color w:val="B8860B"/>
          <w:sz w:val="26"/>
        </w:rPr>
        <w:t>Project Structure</w:t>
      </w:r>
    </w:p>
    <w:p>
      <w:pPr>
        <w:spacing w:after="160"/>
      </w:pPr>
      <w:r>
        <w:t>The development is a joint venture between Jacaranda Homes Limited (developer of record, holding 5 of the 9 units) and BETONIQ WEST LTD (holding 4 of the 9 units). This raise is sourcing capital for the full project, funding and sale of all 9 terrace units, not just BETONIQ WEST's JV share. Investors gain exposure to the complete development's sales proceeds under this arrangement.</w:t>
      </w:r>
    </w:p>
    <w:p>
      <w:pPr>
        <w:spacing w:before="200" w:after="80"/>
      </w:pPr>
      <w:r>
        <w:rPr>
          <w:b/>
          <w:color w:val="B8860B"/>
          <w:sz w:val="26"/>
        </w:rPr>
        <w:t>Construction Status</w:t>
      </w:r>
    </w:p>
    <w:p>
      <w:pPr>
        <w:spacing w:after="160"/>
      </w:pPr>
      <w:r>
        <w:t>Actively under construction. Ring beam and lintel level reached May 2026, with bamboo formwork in place and workers on site daily. This is not a land-only or pre-construction speculative offering; capital is deployed against a live, verifiable build.</w:t>
      </w:r>
    </w:p>
    <w:p>
      <w:pPr>
        <w:spacing w:before="200" w:after="80"/>
      </w:pPr>
      <w:r>
        <w:rPr>
          <w:b/>
          <w:color w:val="B8860B"/>
          <w:sz w:val="26"/>
        </w:rPr>
        <w:t>Key Terms</w:t>
      </w:r>
    </w:p>
    <w:tbl>
      <w:tblPr>
        <w:tblW w:type="auto" w:w="0"/>
        <w:jc w:val="center"/>
        <w:tblLook w:firstColumn="1" w:firstRow="1" w:lastColumn="0" w:lastRow="0" w:noHBand="0" w:noVBand="1" w:val="04A0"/>
      </w:tblPr>
      <w:tblGrid>
        <w:gridCol w:w="5112"/>
        <w:gridCol w:w="5112"/>
      </w:tblGrid>
      <w:tr>
        <w:tc>
          <w:tcPr>
            <w:tcW w:type="dxa" w:w="5112"/>
          </w:tcPr>
          <w:p>
            <w:r>
              <w:rPr>
                <w:b/>
                <w:sz w:val="22"/>
              </w:rPr>
              <w:t>Total Raise Sought</w:t>
            </w:r>
          </w:p>
        </w:tc>
        <w:tc>
          <w:tcPr>
            <w:tcW w:type="dxa" w:w="5112"/>
          </w:tcPr>
          <w:p>
            <w:r>
              <w:rPr>
                <w:sz w:val="22"/>
              </w:rPr>
              <w:t>$850,000 (equity)</w:t>
            </w:r>
          </w:p>
        </w:tc>
      </w:tr>
      <w:tr>
        <w:tc>
          <w:tcPr>
            <w:tcW w:type="dxa" w:w="5112"/>
          </w:tcPr>
          <w:p>
            <w:r>
              <w:rPr>
                <w:b/>
                <w:sz w:val="22"/>
              </w:rPr>
              <w:t>Minimum Investment Ticket</w:t>
            </w:r>
          </w:p>
        </w:tc>
        <w:tc>
          <w:tcPr>
            <w:tcW w:type="dxa" w:w="5112"/>
          </w:tcPr>
          <w:p>
            <w:r>
              <w:rPr>
                <w:sz w:val="22"/>
              </w:rPr>
              <w:t>$15,000</w:t>
            </w:r>
          </w:p>
        </w:tc>
      </w:tr>
      <w:tr>
        <w:tc>
          <w:tcPr>
            <w:tcW w:type="dxa" w:w="5112"/>
          </w:tcPr>
          <w:p>
            <w:r>
              <w:rPr>
                <w:b/>
                <w:sz w:val="22"/>
              </w:rPr>
              <w:t>Target ROI</w:t>
            </w:r>
          </w:p>
        </w:tc>
        <w:tc>
          <w:tcPr>
            <w:tcW w:type="dxa" w:w="5112"/>
          </w:tcPr>
          <w:p>
            <w:r>
              <w:rPr>
                <w:sz w:val="22"/>
              </w:rPr>
              <w:t>28%</w:t>
            </w:r>
          </w:p>
        </w:tc>
      </w:tr>
      <w:tr>
        <w:tc>
          <w:tcPr>
            <w:tcW w:type="dxa" w:w="5112"/>
          </w:tcPr>
          <w:p>
            <w:r>
              <w:rPr>
                <w:b/>
                <w:sz w:val="22"/>
              </w:rPr>
              <w:t>Investment Period</w:t>
            </w:r>
          </w:p>
        </w:tc>
        <w:tc>
          <w:tcPr>
            <w:tcW w:type="dxa" w:w="5112"/>
          </w:tcPr>
          <w:p>
            <w:r>
              <w:rPr>
                <w:sz w:val="22"/>
              </w:rPr>
              <w:t>18 months</w:t>
            </w:r>
          </w:p>
        </w:tc>
      </w:tr>
      <w:tr>
        <w:tc>
          <w:tcPr>
            <w:tcW w:type="dxa" w:w="5112"/>
          </w:tcPr>
          <w:p>
            <w:r>
              <w:rPr>
                <w:b/>
                <w:sz w:val="22"/>
              </w:rPr>
              <w:t>Investment Type</w:t>
            </w:r>
          </w:p>
        </w:tc>
        <w:tc>
          <w:tcPr>
            <w:tcW w:type="dxa" w:w="5112"/>
          </w:tcPr>
          <w:p>
            <w:r>
              <w:rPr>
                <w:sz w:val="22"/>
              </w:rPr>
              <w:t>Equity / Profit-Share</w:t>
            </w:r>
          </w:p>
        </w:tc>
      </w:tr>
    </w:tbl>
    <w:p/>
    <w:p>
      <w:pPr>
        <w:spacing w:before="200" w:after="80"/>
      </w:pPr>
      <w:r>
        <w:rPr>
          <w:b/>
          <w:color w:val="B8860B"/>
          <w:sz w:val="26"/>
        </w:rPr>
        <w:t>Governance &amp; Credibility</w:t>
      </w:r>
    </w:p>
    <w:p>
      <w:pPr>
        <w:spacing w:after="160"/>
      </w:pPr>
      <w:r>
        <w:t>BETONIQ WEST LTD's board includes Air Vice Marshal Monday Riku Morgan (Rtd) as Executive Vice Chairman and His Royal Highness, the Emir of Borgu Kingdom, as Director, providing institutional governance and regulatory goodwill uncommon among early-stage Nigerian developers. The company (RC 1496603) also operates BETONIQ INVEST, a pan-African real estate investment platform, and ZerôPâŷ Money, a fintech venture with a signed Paystack merchant partnership, giving diversified operational credibility across sectors.</w:t>
      </w:r>
    </w:p>
    <w:p>
      <w:pPr>
        <w:spacing w:before="200" w:after="80"/>
      </w:pPr>
      <w:r>
        <w:rPr>
          <w:b/>
          <w:color w:val="B8860B"/>
          <w:sz w:val="26"/>
        </w:rPr>
        <w:t>Why Now</w:t>
      </w:r>
    </w:p>
    <w:p>
      <w:pPr>
        <w:spacing w:after="160"/>
      </w:pPr>
      <w:r>
        <w:t>Abuja's premium terrace market consistently outpaces new supply in districts like Katampe, supporting strong rental yields and capital appreciation. With naira volatility pushing diaspora and HNI capital toward hard-asset real estate, and this project already at ring-beam-and-lintel stage, investors avoid the stalled-project risk common in this market while capturing near-term upside.</w:t>
      </w:r>
    </w:p>
    <w:p/>
    <w:p>
      <w:pPr>
        <w:jc w:val="center"/>
      </w:pPr>
      <w:r>
        <w:rPr>
          <w:i/>
          <w:sz w:val="20"/>
        </w:rPr>
        <w:t>Contact: zeropointfeild_nonwnt@zeropay.site  |  Managing Director: Tom Ugbodaga</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