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4E79"/>
          <w:sz w:val="24"/>
        </w:rPr>
        <w:t>KWARARAFA DEVELOPMENT FORUM</w:t>
      </w:r>
    </w:p>
    <w:p>
      <w:pPr>
        <w:jc w:val="center"/>
      </w:pPr>
      <w:r>
        <w:rPr>
          <w:rFonts w:ascii="Calibri" w:hAnsi="Calibri"/>
          <w:b/>
          <w:color w:val="548235"/>
          <w:sz w:val="24"/>
        </w:rPr>
        <w:t>(KDF)</w:t>
      </w:r>
    </w:p>
    <w:p/>
    <w:p>
      <w:pPr>
        <w:jc w:val="center"/>
      </w:pPr>
      <w:r>
        <w:rPr>
          <w:rFonts w:ascii="Calibri" w:hAnsi="Calibri"/>
          <w:b/>
          <w:color w:val="404040"/>
          <w:sz w:val="24"/>
        </w:rPr>
        <w:t>DRAFT FRAMEWORK FOR TAKE-OFF</w:t>
      </w:r>
    </w:p>
    <w:p/>
    <w:p/>
    <w:p>
      <w:pPr>
        <w:jc w:val="center"/>
      </w:pPr>
      <w:r>
        <w:rPr>
          <w:rFonts w:ascii="Calibri" w:hAnsi="Calibri"/>
          <w:i/>
          <w:color w:val="BF8F00"/>
          <w:sz w:val="24"/>
        </w:rPr>
        <w:t>"One People, Shared Heritage, Common Future: Mobilising Kwararafa</w:t>
        <w:br/>
        <w:t>Human and Economic Capital for Sustainable Development."</w:t>
      </w:r>
    </w:p>
    <w:p>
      <w:r>
        <w:rPr>
          <w:rFonts w:ascii="Calibri" w:hAnsi="Calibri"/>
          <w:sz w:val="24"/>
        </w:rPr>
        <w:br w:type="page"/>
      </w:r>
    </w:p>
    <w:p>
      <w:pPr>
        <w:pStyle w:val="Heading1"/>
      </w:pPr>
      <w:r>
        <w:rPr>
          <w:rFonts w:ascii="Calibri" w:hAnsi="Calibri"/>
          <w:color w:val="1F4E79"/>
          <w:sz w:val="24"/>
        </w:rPr>
        <w:t>1. Preamble</w:t>
      </w:r>
    </w:p>
    <w:p>
      <w:r>
        <w:rPr>
          <w:rFonts w:ascii="Calibri" w:hAnsi="Calibri"/>
          <w:b w:val="0"/>
          <w:i w:val="0"/>
          <w:sz w:val="24"/>
        </w:rPr>
        <w:t>The Kwararafa Development Forum (KDF) is established as a non-partisan, non-profit and development-oriented platform dedicated to promoting unity, peace, cultural identity, human capital development, economic advancement and sustainable development among the Kwararafa peoples and associated communities in Nigeria.</w:t>
      </w:r>
    </w:p>
    <w:p>
      <w:r>
        <w:rPr>
          <w:rFonts w:ascii="Calibri" w:hAnsi="Calibri"/>
          <w:b w:val="0"/>
          <w:i w:val="0"/>
          <w:sz w:val="24"/>
        </w:rPr>
        <w:t>KDF shall provide an inclusive platform through which traditional institutions, professionals, women, youth, business leaders, academics, community leaders and other stakeholders can work together for the common good.</w:t>
      </w:r>
    </w:p>
    <w:p>
      <w:r>
        <w:rPr>
          <w:rFonts w:ascii="Calibri" w:hAnsi="Calibri"/>
          <w:b w:val="0"/>
          <w:i w:val="0"/>
          <w:sz w:val="24"/>
        </w:rPr>
        <w:t>The Forum shall be guided by the principles of unity, inclusiveness, mutual respect, peaceful coexistence, accountability, transparency and sustainable development.</w:t>
      </w:r>
    </w:p>
    <w:p>
      <w:pPr>
        <w:pStyle w:val="Heading1"/>
      </w:pPr>
      <w:r>
        <w:rPr>
          <w:rFonts w:ascii="Calibri" w:hAnsi="Calibri"/>
          <w:color w:val="1F4E79"/>
          <w:sz w:val="24"/>
        </w:rPr>
        <w:t>2. Vision</w:t>
      </w:r>
    </w:p>
    <w:p>
      <w:r>
        <w:rPr>
          <w:rFonts w:ascii="Calibri" w:hAnsi="Calibri"/>
          <w:i/>
          <w:color w:val="1F4E79"/>
          <w:sz w:val="24"/>
        </w:rPr>
        <w:t>"A united, peaceful and prosperous Kwararafa people, contributing significantly to the development and stability of Nigeria."</w:t>
      </w:r>
    </w:p>
    <w:p>
      <w:pPr>
        <w:pStyle w:val="Heading1"/>
      </w:pPr>
      <w:r>
        <w:rPr>
          <w:rFonts w:ascii="Calibri" w:hAnsi="Calibri"/>
          <w:color w:val="1F4E79"/>
          <w:sz w:val="24"/>
        </w:rPr>
        <w:t>3. Mission</w:t>
      </w:r>
    </w:p>
    <w:p>
      <w:r>
        <w:rPr>
          <w:rFonts w:ascii="Calibri" w:hAnsi="Calibri"/>
          <w:b w:val="0"/>
          <w:i w:val="0"/>
          <w:sz w:val="24"/>
        </w:rPr>
        <w:t>To provide an organised and credible platform for mobilising the human, cultural, intellectual and economic resources of Kwararafa communities towards sustainable development, unity and peaceful coexistence.</w:t>
      </w:r>
    </w:p>
    <w:p>
      <w:pPr>
        <w:pStyle w:val="Heading1"/>
      </w:pPr>
      <w:r>
        <w:rPr>
          <w:rFonts w:ascii="Calibri" w:hAnsi="Calibri"/>
          <w:color w:val="1F4E79"/>
          <w:sz w:val="24"/>
        </w:rPr>
        <w:t>4. Core Objectives</w:t>
      </w:r>
    </w:p>
    <w:p>
      <w:r>
        <w:rPr>
          <w:rFonts w:ascii="Calibri" w:hAnsi="Calibri"/>
          <w:b w:val="0"/>
          <w:i w:val="0"/>
          <w:sz w:val="24"/>
        </w:rPr>
        <w:t>KDF shall pursue the following objectives:</w:t>
      </w:r>
    </w:p>
    <w:p>
      <w:pPr>
        <w:pStyle w:val="ListNumber"/>
      </w:pPr>
      <w:r>
        <w:rPr>
          <w:rFonts w:ascii="Calibri" w:hAnsi="Calibri"/>
          <w:sz w:val="24"/>
        </w:rPr>
        <w:t>Promote unity and solidarity among Kwararafa communities.</w:t>
      </w:r>
    </w:p>
    <w:p>
      <w:pPr>
        <w:pStyle w:val="ListNumber"/>
      </w:pPr>
      <w:r>
        <w:rPr>
          <w:rFonts w:ascii="Calibri" w:hAnsi="Calibri"/>
          <w:sz w:val="24"/>
        </w:rPr>
        <w:t>Preserve and promote Kwararafa history, culture and heritage.</w:t>
      </w:r>
    </w:p>
    <w:p>
      <w:pPr>
        <w:pStyle w:val="ListNumber"/>
      </w:pPr>
      <w:r>
        <w:rPr>
          <w:rFonts w:ascii="Calibri" w:hAnsi="Calibri"/>
          <w:sz w:val="24"/>
        </w:rPr>
        <w:t>Promote peace, reconciliation and peaceful coexistence.</w:t>
      </w:r>
    </w:p>
    <w:p>
      <w:pPr>
        <w:pStyle w:val="ListNumber"/>
      </w:pPr>
      <w:r>
        <w:rPr>
          <w:rFonts w:ascii="Calibri" w:hAnsi="Calibri"/>
          <w:sz w:val="24"/>
        </w:rPr>
        <w:t>Develop human capital, particularly among youth and women.</w:t>
      </w:r>
    </w:p>
    <w:p>
      <w:pPr>
        <w:pStyle w:val="ListNumber"/>
      </w:pPr>
      <w:r>
        <w:rPr>
          <w:rFonts w:ascii="Calibri" w:hAnsi="Calibri"/>
          <w:sz w:val="24"/>
        </w:rPr>
        <w:t>Encourage education, professional development and entrepreneurship.</w:t>
      </w:r>
    </w:p>
    <w:p>
      <w:pPr>
        <w:pStyle w:val="ListNumber"/>
      </w:pPr>
      <w:r>
        <w:rPr>
          <w:rFonts w:ascii="Calibri" w:hAnsi="Calibri"/>
          <w:sz w:val="24"/>
        </w:rPr>
        <w:t>Mobilise investment and economic opportunities.</w:t>
      </w:r>
    </w:p>
    <w:p>
      <w:pPr>
        <w:pStyle w:val="ListNumber"/>
      </w:pPr>
      <w:r>
        <w:rPr>
          <w:rFonts w:ascii="Calibri" w:hAnsi="Calibri"/>
          <w:sz w:val="24"/>
        </w:rPr>
        <w:t>Promote agriculture, infrastructure and community development.</w:t>
      </w:r>
    </w:p>
    <w:p>
      <w:pPr>
        <w:pStyle w:val="ListNumber"/>
      </w:pPr>
      <w:r>
        <w:rPr>
          <w:rFonts w:ascii="Calibri" w:hAnsi="Calibri"/>
          <w:sz w:val="24"/>
        </w:rPr>
        <w:t>Establish networks of Kwararafa professionals and entrepreneurs.</w:t>
      </w:r>
    </w:p>
    <w:p>
      <w:pPr>
        <w:pStyle w:val="ListNumber"/>
      </w:pPr>
      <w:r>
        <w:rPr>
          <w:rFonts w:ascii="Calibri" w:hAnsi="Calibri"/>
          <w:sz w:val="24"/>
        </w:rPr>
        <w:t>Encourage research and documentation of Kwararafa history and development.</w:t>
      </w:r>
    </w:p>
    <w:p>
      <w:pPr>
        <w:pStyle w:val="ListNumber"/>
      </w:pPr>
      <w:r>
        <w:rPr>
          <w:rFonts w:ascii="Calibri" w:hAnsi="Calibri"/>
          <w:sz w:val="24"/>
        </w:rPr>
        <w:t>Establish partnerships with governments, traditional institutions, private organisations, development agencies and international partners.</w:t>
      </w:r>
    </w:p>
    <w:p>
      <w:pPr>
        <w:pStyle w:val="ListNumber"/>
      </w:pPr>
      <w:r>
        <w:rPr>
          <w:rFonts w:ascii="Calibri" w:hAnsi="Calibri"/>
          <w:sz w:val="24"/>
        </w:rPr>
        <w:t>Support community-based development projects.</w:t>
      </w:r>
    </w:p>
    <w:p>
      <w:pPr>
        <w:pStyle w:val="ListNumber"/>
      </w:pPr>
      <w:r>
        <w:rPr>
          <w:rFonts w:ascii="Calibri" w:hAnsi="Calibri"/>
          <w:sz w:val="24"/>
        </w:rPr>
        <w:t>Encourage the emergence of responsible leadership committed to the welfare of the people.</w:t>
      </w:r>
    </w:p>
    <w:p>
      <w:pPr>
        <w:pStyle w:val="Heading1"/>
      </w:pPr>
      <w:r>
        <w:rPr>
          <w:rFonts w:ascii="Calibri" w:hAnsi="Calibri"/>
          <w:color w:val="1F4E79"/>
          <w:sz w:val="24"/>
        </w:rPr>
        <w:t>5. Guiding Principles</w:t>
      </w:r>
    </w:p>
    <w:p>
      <w:r>
        <w:rPr>
          <w:rFonts w:ascii="Calibri" w:hAnsi="Calibri"/>
          <w:b w:val="0"/>
          <w:i w:val="0"/>
          <w:sz w:val="24"/>
        </w:rPr>
        <w:t>KDF shall operate according to seven fundamental principles: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F4E79"/>
          </w:tcPr>
          <w:p>
            <w:r>
              <w:rPr>
                <w:rFonts w:ascii="Calibri" w:hAnsi="Calibri"/>
                <w:b/>
                <w:color w:val="FFFFFF"/>
                <w:sz w:val="24"/>
              </w:rPr>
              <w:t>Principle</w:t>
            </w:r>
          </w:p>
        </w:tc>
        <w:tc>
          <w:tcPr>
            <w:tcW w:type="dxa" w:w="7200"/>
            <w:shd w:val="clear" w:color="auto" w:fill="1F4E79"/>
          </w:tcPr>
          <w:p>
            <w:r>
              <w:rPr>
                <w:rFonts w:ascii="Calibri" w:hAnsi="Calibri"/>
                <w:b/>
                <w:color w:val="FFFFFF"/>
                <w:sz w:val="24"/>
              </w:rPr>
              <w:t>Description</w:t>
            </w:r>
          </w:p>
        </w:tc>
      </w:tr>
      <w:tr>
        <w:tc>
          <w:tcPr>
            <w:tcW w:type="dxa" w:w="2592"/>
          </w:tcPr>
          <w:p>
            <w:r>
              <w:rPr>
                <w:rFonts w:ascii="Calibri" w:hAnsi="Calibri"/>
                <w:sz w:val="24"/>
              </w:rPr>
              <w:t>Unity</w:t>
            </w:r>
          </w:p>
        </w:tc>
        <w:tc>
          <w:tcPr>
            <w:tcW w:type="dxa" w:w="7200"/>
          </w:tcPr>
          <w:p>
            <w:r>
              <w:rPr>
                <w:rFonts w:ascii="Calibri" w:hAnsi="Calibri"/>
                <w:sz w:val="24"/>
              </w:rPr>
              <w:t>The Forum shall promote unity without demanding uniformity.</w:t>
            </w:r>
          </w:p>
        </w:tc>
      </w:tr>
      <w:tr>
        <w:tc>
          <w:tcPr>
            <w:tcW w:type="dxa" w:w="2592"/>
          </w:tcPr>
          <w:p>
            <w:r>
              <w:rPr>
                <w:rFonts w:ascii="Calibri" w:hAnsi="Calibri"/>
                <w:sz w:val="24"/>
              </w:rPr>
              <w:t>Inclusiveness</w:t>
            </w:r>
          </w:p>
        </w:tc>
        <w:tc>
          <w:tcPr>
            <w:tcW w:type="dxa" w:w="7200"/>
          </w:tcPr>
          <w:p>
            <w:r>
              <w:rPr>
                <w:rFonts w:ascii="Calibri" w:hAnsi="Calibri"/>
                <w:sz w:val="24"/>
              </w:rPr>
              <w:t>All constituent communities, generations, women, youth and professionals shall have a place.</w:t>
            </w:r>
          </w:p>
        </w:tc>
      </w:tr>
      <w:tr>
        <w:tc>
          <w:tcPr>
            <w:tcW w:type="dxa" w:w="2592"/>
          </w:tcPr>
          <w:p>
            <w:r>
              <w:rPr>
                <w:rFonts w:ascii="Calibri" w:hAnsi="Calibri"/>
                <w:sz w:val="24"/>
              </w:rPr>
              <w:t>Non-Partisanship</w:t>
            </w:r>
          </w:p>
        </w:tc>
        <w:tc>
          <w:tcPr>
            <w:tcW w:type="dxa" w:w="7200"/>
          </w:tcPr>
          <w:p>
            <w:r>
              <w:rPr>
                <w:rFonts w:ascii="Calibri" w:hAnsi="Calibri"/>
                <w:sz w:val="24"/>
              </w:rPr>
              <w:t>KDF shall not become a platform for any political party or electoral campaign.</w:t>
            </w:r>
          </w:p>
        </w:tc>
      </w:tr>
      <w:tr>
        <w:tc>
          <w:tcPr>
            <w:tcW w:type="dxa" w:w="2592"/>
          </w:tcPr>
          <w:p>
            <w:r>
              <w:rPr>
                <w:rFonts w:ascii="Calibri" w:hAnsi="Calibri"/>
                <w:sz w:val="24"/>
              </w:rPr>
              <w:t>Development</w:t>
            </w:r>
          </w:p>
        </w:tc>
        <w:tc>
          <w:tcPr>
            <w:tcW w:type="dxa" w:w="7200"/>
          </w:tcPr>
          <w:p>
            <w:r>
              <w:rPr>
                <w:rFonts w:ascii="Calibri" w:hAnsi="Calibri"/>
                <w:sz w:val="24"/>
              </w:rPr>
              <w:t>Every major activity should ultimately contribute to measurable human or community development.</w:t>
            </w:r>
          </w:p>
        </w:tc>
      </w:tr>
      <w:tr>
        <w:tc>
          <w:tcPr>
            <w:tcW w:type="dxa" w:w="2592"/>
          </w:tcPr>
          <w:p>
            <w:r>
              <w:rPr>
                <w:rFonts w:ascii="Calibri" w:hAnsi="Calibri"/>
                <w:sz w:val="24"/>
              </w:rPr>
              <w:t>Accountability</w:t>
            </w:r>
          </w:p>
        </w:tc>
        <w:tc>
          <w:tcPr>
            <w:tcW w:type="dxa" w:w="7200"/>
          </w:tcPr>
          <w:p>
            <w:r>
              <w:rPr>
                <w:rFonts w:ascii="Calibri" w:hAnsi="Calibri"/>
                <w:sz w:val="24"/>
              </w:rPr>
              <w:t>Leadership shall be answerable to the membership.</w:t>
            </w:r>
          </w:p>
        </w:tc>
      </w:tr>
      <w:tr>
        <w:tc>
          <w:tcPr>
            <w:tcW w:type="dxa" w:w="2592"/>
          </w:tcPr>
          <w:p>
            <w:r>
              <w:rPr>
                <w:rFonts w:ascii="Calibri" w:hAnsi="Calibri"/>
                <w:sz w:val="24"/>
              </w:rPr>
              <w:t>Transparency</w:t>
            </w:r>
          </w:p>
        </w:tc>
        <w:tc>
          <w:tcPr>
            <w:tcW w:type="dxa" w:w="7200"/>
          </w:tcPr>
          <w:p>
            <w:r>
              <w:rPr>
                <w:rFonts w:ascii="Calibri" w:hAnsi="Calibri"/>
                <w:sz w:val="24"/>
              </w:rPr>
              <w:t>Financial and administrative activities shall be properly documented and reported.</w:t>
            </w:r>
          </w:p>
        </w:tc>
      </w:tr>
      <w:tr>
        <w:tc>
          <w:tcPr>
            <w:tcW w:type="dxa" w:w="2592"/>
          </w:tcPr>
          <w:p>
            <w:r>
              <w:rPr>
                <w:rFonts w:ascii="Calibri" w:hAnsi="Calibri"/>
                <w:sz w:val="24"/>
              </w:rPr>
              <w:t>Peace</w:t>
            </w:r>
          </w:p>
        </w:tc>
        <w:tc>
          <w:tcPr>
            <w:tcW w:type="dxa" w:w="7200"/>
          </w:tcPr>
          <w:p>
            <w:r>
              <w:rPr>
                <w:rFonts w:ascii="Calibri" w:hAnsi="Calibri"/>
                <w:sz w:val="24"/>
              </w:rPr>
              <w:t>KDF shall promote dialogue, reconciliation and peaceful coexistence.</w:t>
            </w:r>
          </w:p>
        </w:tc>
      </w:tr>
    </w:tbl>
    <w:p/>
    <w:p>
      <w:pPr>
        <w:pStyle w:val="Heading1"/>
      </w:pPr>
      <w:r>
        <w:rPr>
          <w:rFonts w:ascii="Calibri" w:hAnsi="Calibri"/>
          <w:color w:val="1F4E79"/>
          <w:sz w:val="24"/>
        </w:rPr>
        <w:t>6. Proposed Governance Structure</w:t>
      </w:r>
    </w:p>
    <w:p>
      <w:r>
        <w:rPr>
          <w:rFonts w:ascii="Calibri" w:hAnsi="Calibri"/>
          <w:b w:val="0"/>
          <w:i w:val="0"/>
          <w:sz w:val="24"/>
        </w:rPr>
        <w:t>The organisational structure shall be as illustrated below:</w:t>
      </w:r>
    </w:p>
    <w:p>
      <w:pPr>
        <w:jc w:val="center"/>
      </w:pPr>
      <w:r>
        <w:rPr>
          <w:rFonts w:ascii="Calibri" w:hAnsi="Calibri"/>
          <w:sz w:val="24"/>
        </w:rPr>
        <w:drawing>
          <wp:inline xmlns:a="http://schemas.openxmlformats.org/drawingml/2006/main" xmlns:pic="http://schemas.openxmlformats.org/drawingml/2006/picture">
            <wp:extent cx="5120640" cy="6271346"/>
            <wp:docPr id="1" name="Picture 1"/>
            <wp:cNvGraphicFramePr>
              <a:graphicFrameLocks noChangeAspect="1"/>
            </wp:cNvGraphicFramePr>
            <a:graphic>
              <a:graphicData uri="http://schemas.openxmlformats.org/drawingml/2006/picture">
                <pic:pic>
                  <pic:nvPicPr>
                    <pic:cNvPr id="0" name="governance_organogram.png"/>
                    <pic:cNvPicPr/>
                  </pic:nvPicPr>
                  <pic:blipFill>
                    <a:blip r:embed="rId9"/>
                    <a:stretch>
                      <a:fillRect/>
                    </a:stretch>
                  </pic:blipFill>
                  <pic:spPr>
                    <a:xfrm>
                      <a:off x="0" y="0"/>
                      <a:ext cx="5120640" cy="6271346"/>
                    </a:xfrm>
                    <a:prstGeom prst="rect"/>
                  </pic:spPr>
                </pic:pic>
              </a:graphicData>
            </a:graphic>
          </wp:inline>
        </w:drawing>
      </w:r>
    </w:p>
    <w:p>
      <w:pPr>
        <w:pStyle w:val="Heading1"/>
      </w:pPr>
      <w:r>
        <w:rPr>
          <w:rFonts w:ascii="Calibri" w:hAnsi="Calibri"/>
          <w:color w:val="1F4E79"/>
          <w:sz w:val="24"/>
        </w:rPr>
        <w:t>7. The General Assembly</w:t>
      </w:r>
    </w:p>
    <w:p>
      <w:r>
        <w:rPr>
          <w:rFonts w:ascii="Calibri" w:hAnsi="Calibri"/>
          <w:b w:val="0"/>
          <w:i w:val="0"/>
          <w:sz w:val="24"/>
        </w:rPr>
        <w:t>The General Assembly shall be the supreme representative organ of KDF.</w:t>
      </w:r>
    </w:p>
    <w:p>
      <w:r>
        <w:rPr>
          <w:rFonts w:ascii="Calibri" w:hAnsi="Calibri"/>
          <w:b/>
          <w:i w:val="0"/>
          <w:sz w:val="24"/>
        </w:rPr>
        <w:t>It shall comprise representatives from:</w:t>
      </w:r>
    </w:p>
    <w:p>
      <w:pPr>
        <w:pStyle w:val="ListBullet"/>
      </w:pPr>
      <w:r>
        <w:rPr>
          <w:rFonts w:ascii="Calibri" w:hAnsi="Calibri"/>
          <w:sz w:val="24"/>
        </w:rPr>
        <w:t>State chapters</w:t>
      </w:r>
    </w:p>
    <w:p>
      <w:pPr>
        <w:pStyle w:val="ListBullet"/>
      </w:pPr>
      <w:r>
        <w:rPr>
          <w:rFonts w:ascii="Calibri" w:hAnsi="Calibri"/>
          <w:sz w:val="24"/>
        </w:rPr>
        <w:t>Community chapters</w:t>
      </w:r>
    </w:p>
    <w:p>
      <w:pPr>
        <w:pStyle w:val="ListBullet"/>
      </w:pPr>
      <w:r>
        <w:rPr>
          <w:rFonts w:ascii="Calibri" w:hAnsi="Calibri"/>
          <w:sz w:val="24"/>
        </w:rPr>
        <w:t>Traditional institutions</w:t>
      </w:r>
    </w:p>
    <w:p>
      <w:pPr>
        <w:pStyle w:val="ListBullet"/>
      </w:pPr>
      <w:r>
        <w:rPr>
          <w:rFonts w:ascii="Calibri" w:hAnsi="Calibri"/>
          <w:sz w:val="24"/>
        </w:rPr>
        <w:t>Women</w:t>
      </w:r>
    </w:p>
    <w:p>
      <w:pPr>
        <w:pStyle w:val="ListBullet"/>
      </w:pPr>
      <w:r>
        <w:rPr>
          <w:rFonts w:ascii="Calibri" w:hAnsi="Calibri"/>
          <w:sz w:val="24"/>
        </w:rPr>
        <w:t>Youth</w:t>
      </w:r>
    </w:p>
    <w:p>
      <w:pPr>
        <w:pStyle w:val="ListBullet"/>
      </w:pPr>
      <w:r>
        <w:rPr>
          <w:rFonts w:ascii="Calibri" w:hAnsi="Calibri"/>
          <w:sz w:val="24"/>
        </w:rPr>
        <w:t>Professionals</w:t>
      </w:r>
    </w:p>
    <w:p>
      <w:pPr>
        <w:pStyle w:val="ListBullet"/>
      </w:pPr>
      <w:r>
        <w:rPr>
          <w:rFonts w:ascii="Calibri" w:hAnsi="Calibri"/>
          <w:sz w:val="24"/>
        </w:rPr>
        <w:t>Business community</w:t>
      </w:r>
    </w:p>
    <w:p>
      <w:pPr>
        <w:pStyle w:val="ListBullet"/>
      </w:pPr>
      <w:r>
        <w:rPr>
          <w:rFonts w:ascii="Calibri" w:hAnsi="Calibri"/>
          <w:sz w:val="24"/>
        </w:rPr>
        <w:t>Academia</w:t>
      </w:r>
    </w:p>
    <w:p>
      <w:pPr>
        <w:pStyle w:val="ListBullet"/>
      </w:pPr>
      <w:r>
        <w:rPr>
          <w:rFonts w:ascii="Calibri" w:hAnsi="Calibri"/>
          <w:sz w:val="24"/>
        </w:rPr>
        <w:t>Other recognised stakeholder groups</w:t>
      </w:r>
    </w:p>
    <w:p>
      <w:pPr>
        <w:pStyle w:val="Heading2"/>
      </w:pPr>
      <w:r>
        <w:rPr>
          <w:rFonts w:ascii="Calibri" w:hAnsi="Calibri"/>
          <w:color w:val="1F4E79"/>
          <w:sz w:val="24"/>
        </w:rPr>
        <w:t>Functions</w:t>
      </w:r>
    </w:p>
    <w:p>
      <w:r>
        <w:rPr>
          <w:rFonts w:ascii="Calibri" w:hAnsi="Calibri"/>
          <w:b w:val="0"/>
          <w:i w:val="0"/>
          <w:sz w:val="24"/>
        </w:rPr>
        <w:t>The General Assembly shall:</w:t>
      </w:r>
    </w:p>
    <w:p>
      <w:pPr>
        <w:pStyle w:val="ListBullet"/>
      </w:pPr>
      <w:r>
        <w:rPr>
          <w:rFonts w:ascii="Calibri" w:hAnsi="Calibri"/>
          <w:sz w:val="24"/>
        </w:rPr>
        <w:t>Approve the broad direction of KDF.</w:t>
      </w:r>
    </w:p>
    <w:p>
      <w:pPr>
        <w:pStyle w:val="ListBullet"/>
      </w:pPr>
      <w:r>
        <w:rPr>
          <w:rFonts w:ascii="Calibri" w:hAnsi="Calibri"/>
          <w:sz w:val="24"/>
        </w:rPr>
        <w:t>Receive annual reports.</w:t>
      </w:r>
    </w:p>
    <w:p>
      <w:pPr>
        <w:pStyle w:val="ListBullet"/>
      </w:pPr>
      <w:r>
        <w:rPr>
          <w:rFonts w:ascii="Calibri" w:hAnsi="Calibri"/>
          <w:sz w:val="24"/>
        </w:rPr>
        <w:t>Receive audited financial statements.</w:t>
      </w:r>
    </w:p>
    <w:p>
      <w:pPr>
        <w:pStyle w:val="ListBullet"/>
      </w:pPr>
      <w:r>
        <w:rPr>
          <w:rFonts w:ascii="Calibri" w:hAnsi="Calibri"/>
          <w:sz w:val="24"/>
        </w:rPr>
        <w:t>Approve major constitutional amendments.</w:t>
      </w:r>
    </w:p>
    <w:p>
      <w:pPr>
        <w:pStyle w:val="ListBullet"/>
      </w:pPr>
      <w:r>
        <w:rPr>
          <w:rFonts w:ascii="Calibri" w:hAnsi="Calibri"/>
          <w:sz w:val="24"/>
        </w:rPr>
        <w:t>Elect or confirm national leadership as provided by the constitution.</w:t>
      </w:r>
    </w:p>
    <w:p>
      <w:pPr>
        <w:pStyle w:val="ListBullet"/>
      </w:pPr>
      <w:r>
        <w:rPr>
          <w:rFonts w:ascii="Calibri" w:hAnsi="Calibri"/>
          <w:sz w:val="24"/>
        </w:rPr>
        <w:t>Review the performance of the organisation.</w:t>
      </w:r>
    </w:p>
    <w:p>
      <w:pPr>
        <w:pStyle w:val="ListBullet"/>
      </w:pPr>
      <w:r>
        <w:rPr>
          <w:rFonts w:ascii="Calibri" w:hAnsi="Calibri"/>
          <w:sz w:val="24"/>
        </w:rPr>
        <w:t>Approve major long-term development policies.</w:t>
      </w:r>
    </w:p>
    <w:p>
      <w:r>
        <w:rPr>
          <w:rFonts w:ascii="Calibri" w:hAnsi="Calibri"/>
          <w:b w:val="0"/>
          <w:i/>
          <w:sz w:val="24"/>
        </w:rPr>
        <w:t>The General Assembly should ordinarily meet once every year.</w:t>
      </w:r>
    </w:p>
    <w:p>
      <w:pPr>
        <w:pStyle w:val="Heading1"/>
      </w:pPr>
      <w:r>
        <w:rPr>
          <w:rFonts w:ascii="Calibri" w:hAnsi="Calibri"/>
          <w:color w:val="1F4E79"/>
          <w:sz w:val="24"/>
        </w:rPr>
        <w:t>8. Board of Trustees / Council of Elders</w:t>
      </w:r>
    </w:p>
    <w:p>
      <w:r>
        <w:rPr>
          <w:rFonts w:ascii="Calibri" w:hAnsi="Calibri"/>
          <w:b w:val="0"/>
          <w:i w:val="0"/>
          <w:sz w:val="24"/>
        </w:rPr>
        <w:t>A small body of approximately 7-11 eminent persons should serve as the institutional custodians of KDF.</w:t>
      </w:r>
    </w:p>
    <w:p>
      <w:pPr>
        <w:pStyle w:val="Heading2"/>
      </w:pPr>
      <w:r>
        <w:rPr>
          <w:rFonts w:ascii="Calibri" w:hAnsi="Calibri"/>
          <w:color w:val="1F4E79"/>
          <w:sz w:val="24"/>
        </w:rPr>
        <w:t>Functions</w:t>
      </w:r>
    </w:p>
    <w:p>
      <w:pPr>
        <w:pStyle w:val="ListBullet"/>
      </w:pPr>
      <w:r>
        <w:rPr>
          <w:rFonts w:ascii="Calibri" w:hAnsi="Calibri"/>
          <w:sz w:val="24"/>
        </w:rPr>
        <w:t>Protect the founding objectives of KDF.</w:t>
      </w:r>
    </w:p>
    <w:p>
      <w:pPr>
        <w:pStyle w:val="ListBullet"/>
      </w:pPr>
      <w:r>
        <w:rPr>
          <w:rFonts w:ascii="Calibri" w:hAnsi="Calibri"/>
          <w:sz w:val="24"/>
        </w:rPr>
        <w:t>Provide institutional guidance.</w:t>
      </w:r>
    </w:p>
    <w:p>
      <w:pPr>
        <w:pStyle w:val="ListBullet"/>
      </w:pPr>
      <w:r>
        <w:rPr>
          <w:rFonts w:ascii="Calibri" w:hAnsi="Calibri"/>
          <w:sz w:val="24"/>
        </w:rPr>
        <w:t>Protect the non-partisan character of the Forum.</w:t>
      </w:r>
    </w:p>
    <w:p>
      <w:pPr>
        <w:pStyle w:val="ListBullet"/>
      </w:pPr>
      <w:r>
        <w:rPr>
          <w:rFonts w:ascii="Calibri" w:hAnsi="Calibri"/>
          <w:sz w:val="24"/>
        </w:rPr>
        <w:t>Mediate major internal disputes.</w:t>
      </w:r>
    </w:p>
    <w:p>
      <w:pPr>
        <w:pStyle w:val="ListBullet"/>
      </w:pPr>
      <w:r>
        <w:rPr>
          <w:rFonts w:ascii="Calibri" w:hAnsi="Calibri"/>
          <w:sz w:val="24"/>
        </w:rPr>
        <w:t>Provide continuity between successive administrations.</w:t>
      </w:r>
    </w:p>
    <w:p>
      <w:pPr>
        <w:pStyle w:val="ListBullet"/>
      </w:pPr>
      <w:r>
        <w:rPr>
          <w:rFonts w:ascii="Calibri" w:hAnsi="Calibri"/>
          <w:sz w:val="24"/>
        </w:rPr>
        <w:t>Advise on major strategic decisions.</w:t>
      </w:r>
    </w:p>
    <w:p>
      <w:pPr>
        <w:pStyle w:val="ListBullet"/>
      </w:pPr>
      <w:r>
        <w:rPr>
          <w:rFonts w:ascii="Calibri" w:hAnsi="Calibri"/>
          <w:sz w:val="24"/>
        </w:rPr>
        <w:t>Provide oversight on major assets and long-term commitments.</w:t>
      </w:r>
    </w:p>
    <w:p>
      <w:r>
        <w:rPr>
          <w:rFonts w:ascii="Calibri" w:hAnsi="Calibri"/>
          <w:b w:val="0"/>
          <w:i/>
          <w:sz w:val="24"/>
        </w:rPr>
        <w:t>The Board should not interfere unnecessarily in day-to-day administration.</w:t>
      </w:r>
    </w:p>
    <w:p>
      <w:pPr>
        <w:pStyle w:val="Heading1"/>
      </w:pPr>
      <w:r>
        <w:rPr>
          <w:rFonts w:ascii="Calibri" w:hAnsi="Calibri"/>
          <w:color w:val="1F4E79"/>
          <w:sz w:val="24"/>
        </w:rPr>
        <w:t>9. National Executive Council</w:t>
      </w:r>
    </w:p>
    <w:p>
      <w:r>
        <w:rPr>
          <w:rFonts w:ascii="Calibri" w:hAnsi="Calibri"/>
          <w:b w:val="0"/>
          <w:i w:val="0"/>
          <w:sz w:val="24"/>
        </w:rPr>
        <w:t>The National Executive Council shall be the principal executive organ.</w:t>
      </w:r>
    </w:p>
    <w:p>
      <w:pPr>
        <w:pStyle w:val="Heading2"/>
      </w:pPr>
      <w:r>
        <w:rPr>
          <w:rFonts w:ascii="Calibri" w:hAnsi="Calibri"/>
          <w:color w:val="1F4E79"/>
          <w:sz w:val="24"/>
        </w:rPr>
        <w:t>Proposed Officers</w:t>
      </w:r>
    </w:p>
    <w:tbl>
      <w:tblPr>
        <w:tblStyle w:val="TableGrid"/>
        <w:tblW w:type="auto" w:w="0"/>
        <w:jc w:val="center"/>
        <w:tblLook w:firstColumn="1" w:firstRow="1" w:lastColumn="0" w:lastRow="0" w:noHBand="0" w:noVBand="1" w:val="04A0"/>
      </w:tblPr>
      <w:tblGrid>
        <w:gridCol w:w="4320"/>
        <w:gridCol w:w="4320"/>
      </w:tblGrid>
      <w:tr>
        <w:tc>
          <w:tcPr>
            <w:tcW w:type="dxa" w:w="864"/>
            <w:shd w:val="clear" w:color="auto" w:fill="1F4E79"/>
          </w:tcPr>
          <w:p>
            <w:r>
              <w:rPr>
                <w:rFonts w:ascii="Calibri" w:hAnsi="Calibri"/>
                <w:b/>
                <w:color w:val="FFFFFF"/>
                <w:sz w:val="24"/>
              </w:rPr>
              <w:t>#</w:t>
            </w:r>
          </w:p>
        </w:tc>
        <w:tc>
          <w:tcPr>
            <w:tcW w:type="dxa" w:w="8928"/>
            <w:shd w:val="clear" w:color="auto" w:fill="1F4E79"/>
          </w:tcPr>
          <w:p>
            <w:r>
              <w:rPr>
                <w:rFonts w:ascii="Calibri" w:hAnsi="Calibri"/>
                <w:b/>
                <w:color w:val="FFFFFF"/>
                <w:sz w:val="24"/>
              </w:rPr>
              <w:t>Office</w:t>
            </w:r>
          </w:p>
        </w:tc>
      </w:tr>
      <w:tr>
        <w:tc>
          <w:tcPr>
            <w:tcW w:type="dxa" w:w="864"/>
          </w:tcPr>
          <w:p>
            <w:r>
              <w:rPr>
                <w:rFonts w:ascii="Calibri" w:hAnsi="Calibri"/>
                <w:sz w:val="24"/>
              </w:rPr>
              <w:t>1</w:t>
            </w:r>
          </w:p>
        </w:tc>
        <w:tc>
          <w:tcPr>
            <w:tcW w:type="dxa" w:w="8928"/>
          </w:tcPr>
          <w:p>
            <w:r>
              <w:rPr>
                <w:rFonts w:ascii="Calibri" w:hAnsi="Calibri"/>
                <w:sz w:val="24"/>
              </w:rPr>
              <w:t>President</w:t>
            </w:r>
          </w:p>
        </w:tc>
      </w:tr>
      <w:tr>
        <w:tc>
          <w:tcPr>
            <w:tcW w:type="dxa" w:w="864"/>
          </w:tcPr>
          <w:p>
            <w:r>
              <w:rPr>
                <w:rFonts w:ascii="Calibri" w:hAnsi="Calibri"/>
                <w:sz w:val="24"/>
              </w:rPr>
              <w:t>2</w:t>
            </w:r>
          </w:p>
        </w:tc>
        <w:tc>
          <w:tcPr>
            <w:tcW w:type="dxa" w:w="8928"/>
          </w:tcPr>
          <w:p>
            <w:r>
              <w:rPr>
                <w:rFonts w:ascii="Calibri" w:hAnsi="Calibri"/>
                <w:sz w:val="24"/>
              </w:rPr>
              <w:t>Deputy President</w:t>
            </w:r>
          </w:p>
        </w:tc>
      </w:tr>
      <w:tr>
        <w:tc>
          <w:tcPr>
            <w:tcW w:type="dxa" w:w="864"/>
          </w:tcPr>
          <w:p>
            <w:r>
              <w:rPr>
                <w:rFonts w:ascii="Calibri" w:hAnsi="Calibri"/>
                <w:sz w:val="24"/>
              </w:rPr>
              <w:t>3</w:t>
            </w:r>
          </w:p>
        </w:tc>
        <w:tc>
          <w:tcPr>
            <w:tcW w:type="dxa" w:w="8928"/>
          </w:tcPr>
          <w:p>
            <w:r>
              <w:rPr>
                <w:rFonts w:ascii="Calibri" w:hAnsi="Calibri"/>
                <w:sz w:val="24"/>
              </w:rPr>
              <w:t>Secretary-General</w:t>
            </w:r>
          </w:p>
        </w:tc>
      </w:tr>
      <w:tr>
        <w:tc>
          <w:tcPr>
            <w:tcW w:type="dxa" w:w="864"/>
          </w:tcPr>
          <w:p>
            <w:r>
              <w:rPr>
                <w:rFonts w:ascii="Calibri" w:hAnsi="Calibri"/>
                <w:sz w:val="24"/>
              </w:rPr>
              <w:t>4</w:t>
            </w:r>
          </w:p>
        </w:tc>
        <w:tc>
          <w:tcPr>
            <w:tcW w:type="dxa" w:w="8928"/>
          </w:tcPr>
          <w:p>
            <w:r>
              <w:rPr>
                <w:rFonts w:ascii="Calibri" w:hAnsi="Calibri"/>
                <w:sz w:val="24"/>
              </w:rPr>
              <w:t>Deputy Secretary-General</w:t>
            </w:r>
          </w:p>
        </w:tc>
      </w:tr>
      <w:tr>
        <w:tc>
          <w:tcPr>
            <w:tcW w:type="dxa" w:w="864"/>
          </w:tcPr>
          <w:p>
            <w:r>
              <w:rPr>
                <w:rFonts w:ascii="Calibri" w:hAnsi="Calibri"/>
                <w:sz w:val="24"/>
              </w:rPr>
              <w:t>5</w:t>
            </w:r>
          </w:p>
        </w:tc>
        <w:tc>
          <w:tcPr>
            <w:tcW w:type="dxa" w:w="8928"/>
          </w:tcPr>
          <w:p>
            <w:r>
              <w:rPr>
                <w:rFonts w:ascii="Calibri" w:hAnsi="Calibri"/>
                <w:sz w:val="24"/>
              </w:rPr>
              <w:t>Treasurer</w:t>
            </w:r>
          </w:p>
        </w:tc>
      </w:tr>
      <w:tr>
        <w:tc>
          <w:tcPr>
            <w:tcW w:type="dxa" w:w="864"/>
          </w:tcPr>
          <w:p>
            <w:r>
              <w:rPr>
                <w:rFonts w:ascii="Calibri" w:hAnsi="Calibri"/>
                <w:sz w:val="24"/>
              </w:rPr>
              <w:t>6</w:t>
            </w:r>
          </w:p>
        </w:tc>
        <w:tc>
          <w:tcPr>
            <w:tcW w:type="dxa" w:w="8928"/>
          </w:tcPr>
          <w:p>
            <w:r>
              <w:rPr>
                <w:rFonts w:ascii="Calibri" w:hAnsi="Calibri"/>
                <w:sz w:val="24"/>
              </w:rPr>
              <w:t>Financial Secretary</w:t>
            </w:r>
          </w:p>
        </w:tc>
      </w:tr>
      <w:tr>
        <w:tc>
          <w:tcPr>
            <w:tcW w:type="dxa" w:w="864"/>
          </w:tcPr>
          <w:p>
            <w:r>
              <w:rPr>
                <w:rFonts w:ascii="Calibri" w:hAnsi="Calibri"/>
                <w:sz w:val="24"/>
              </w:rPr>
              <w:t>7</w:t>
            </w:r>
          </w:p>
        </w:tc>
        <w:tc>
          <w:tcPr>
            <w:tcW w:type="dxa" w:w="8928"/>
          </w:tcPr>
          <w:p>
            <w:r>
              <w:rPr>
                <w:rFonts w:ascii="Calibri" w:hAnsi="Calibri"/>
                <w:sz w:val="24"/>
              </w:rPr>
              <w:t>Legal Adviser</w:t>
            </w:r>
          </w:p>
        </w:tc>
      </w:tr>
      <w:tr>
        <w:tc>
          <w:tcPr>
            <w:tcW w:type="dxa" w:w="864"/>
          </w:tcPr>
          <w:p>
            <w:r>
              <w:rPr>
                <w:rFonts w:ascii="Calibri" w:hAnsi="Calibri"/>
                <w:sz w:val="24"/>
              </w:rPr>
              <w:t>8</w:t>
            </w:r>
          </w:p>
        </w:tc>
        <w:tc>
          <w:tcPr>
            <w:tcW w:type="dxa" w:w="8928"/>
          </w:tcPr>
          <w:p>
            <w:r>
              <w:rPr>
                <w:rFonts w:ascii="Calibri" w:hAnsi="Calibri"/>
                <w:sz w:val="24"/>
              </w:rPr>
              <w:t>Publicity/Communications Secretary</w:t>
            </w:r>
          </w:p>
        </w:tc>
      </w:tr>
      <w:tr>
        <w:tc>
          <w:tcPr>
            <w:tcW w:type="dxa" w:w="864"/>
          </w:tcPr>
          <w:p>
            <w:r>
              <w:rPr>
                <w:rFonts w:ascii="Calibri" w:hAnsi="Calibri"/>
                <w:sz w:val="24"/>
              </w:rPr>
              <w:t>9</w:t>
            </w:r>
          </w:p>
        </w:tc>
        <w:tc>
          <w:tcPr>
            <w:tcW w:type="dxa" w:w="8928"/>
          </w:tcPr>
          <w:p>
            <w:r>
              <w:rPr>
                <w:rFonts w:ascii="Calibri" w:hAnsi="Calibri"/>
                <w:sz w:val="24"/>
              </w:rPr>
              <w:t>Organising Secretary</w:t>
            </w:r>
          </w:p>
        </w:tc>
      </w:tr>
      <w:tr>
        <w:tc>
          <w:tcPr>
            <w:tcW w:type="dxa" w:w="864"/>
          </w:tcPr>
          <w:p>
            <w:r>
              <w:rPr>
                <w:rFonts w:ascii="Calibri" w:hAnsi="Calibri"/>
                <w:sz w:val="24"/>
              </w:rPr>
              <w:t>10</w:t>
            </w:r>
          </w:p>
        </w:tc>
        <w:tc>
          <w:tcPr>
            <w:tcW w:type="dxa" w:w="8928"/>
          </w:tcPr>
          <w:p>
            <w:r>
              <w:rPr>
                <w:rFonts w:ascii="Calibri" w:hAnsi="Calibri"/>
                <w:sz w:val="24"/>
              </w:rPr>
              <w:t>Six Directorate Directors</w:t>
            </w:r>
          </w:p>
        </w:tc>
      </w:tr>
    </w:tbl>
    <w:p/>
    <w:p>
      <w:r>
        <w:rPr>
          <w:rFonts w:ascii="Calibri" w:hAnsi="Calibri"/>
          <w:b w:val="0"/>
          <w:i w:val="0"/>
          <w:sz w:val="24"/>
        </w:rPr>
        <w:t>The President shall coordinate the activities of the NEC and serve as the principal representative of KDF.</w:t>
      </w:r>
    </w:p>
    <w:p>
      <w:pPr>
        <w:pStyle w:val="Heading1"/>
      </w:pPr>
      <w:r>
        <w:rPr>
          <w:rFonts w:ascii="Calibri" w:hAnsi="Calibri"/>
          <w:color w:val="1F4E79"/>
          <w:sz w:val="24"/>
        </w:rPr>
        <w:t>10. Six National Directorates</w:t>
      </w:r>
    </w:p>
    <w:p>
      <w:pPr>
        <w:jc w:val="center"/>
      </w:pPr>
      <w:r>
        <w:rPr>
          <w:rFonts w:ascii="Calibri" w:hAnsi="Calibri"/>
          <w:sz w:val="24"/>
        </w:rPr>
        <w:drawing>
          <wp:inline xmlns:a="http://schemas.openxmlformats.org/drawingml/2006/main" xmlns:pic="http://schemas.openxmlformats.org/drawingml/2006/picture">
            <wp:extent cx="5669280" cy="4267031"/>
            <wp:docPr id="2" name="Picture 2"/>
            <wp:cNvGraphicFramePr>
              <a:graphicFrameLocks noChangeAspect="1"/>
            </wp:cNvGraphicFramePr>
            <a:graphic>
              <a:graphicData uri="http://schemas.openxmlformats.org/drawingml/2006/picture">
                <pic:pic>
                  <pic:nvPicPr>
                    <pic:cNvPr id="0" name="directorates_chart.png"/>
                    <pic:cNvPicPr/>
                  </pic:nvPicPr>
                  <pic:blipFill>
                    <a:blip r:embed="rId10"/>
                    <a:stretch>
                      <a:fillRect/>
                    </a:stretch>
                  </pic:blipFill>
                  <pic:spPr>
                    <a:xfrm>
                      <a:off x="0" y="0"/>
                      <a:ext cx="5669280" cy="4267031"/>
                    </a:xfrm>
                    <a:prstGeom prst="rect"/>
                  </pic:spPr>
                </pic:pic>
              </a:graphicData>
            </a:graphic>
          </wp:inline>
        </w:drawing>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color="auto" w:fill="548235"/>
          </w:tcPr>
          <w:p>
            <w:r>
              <w:rPr>
                <w:rFonts w:ascii="Calibri" w:hAnsi="Calibri"/>
                <w:b/>
                <w:color w:val="FFFFFF"/>
                <w:sz w:val="24"/>
              </w:rPr>
              <w:t>Directorate</w:t>
            </w:r>
          </w:p>
        </w:tc>
        <w:tc>
          <w:tcPr>
            <w:tcW w:type="dxa" w:w="5184"/>
            <w:shd w:val="clear" w:color="auto" w:fill="548235"/>
          </w:tcPr>
          <w:p>
            <w:r>
              <w:rPr>
                <w:rFonts w:ascii="Calibri" w:hAnsi="Calibri"/>
                <w:b/>
                <w:color w:val="FFFFFF"/>
                <w:sz w:val="24"/>
              </w:rPr>
              <w:t>Responsibilities</w:t>
            </w:r>
          </w:p>
        </w:tc>
        <w:tc>
          <w:tcPr>
            <w:tcW w:type="dxa" w:w="3312"/>
            <w:shd w:val="clear" w:color="auto" w:fill="548235"/>
          </w:tcPr>
          <w:p>
            <w:r>
              <w:rPr>
                <w:rFonts w:ascii="Calibri" w:hAnsi="Calibri"/>
                <w:b/>
                <w:color w:val="FFFFFF"/>
                <w:sz w:val="24"/>
              </w:rPr>
              <w:t>Flagship Project</w:t>
            </w:r>
          </w:p>
        </w:tc>
      </w:tr>
      <w:tr>
        <w:tc>
          <w:tcPr>
            <w:tcW w:type="dxa" w:w="2736"/>
          </w:tcPr>
          <w:p>
            <w:r>
              <w:rPr>
                <w:rFonts w:ascii="Calibri" w:hAnsi="Calibri"/>
                <w:sz w:val="24"/>
              </w:rPr>
              <w:t>1. Unity, Culture &amp; Traditional Institutions</w:t>
            </w:r>
          </w:p>
        </w:tc>
        <w:tc>
          <w:tcPr>
            <w:tcW w:type="dxa" w:w="5184"/>
          </w:tcPr>
          <w:p>
            <w:r>
              <w:rPr>
                <w:rFonts w:ascii="Calibri" w:hAnsi="Calibri"/>
                <w:sz w:val="24"/>
              </w:rPr>
              <w:t>Kwararafa history; cultural heritage; traditional institutions; cultural festivals; community reconciliation; oral history; cultural documentation; heritage preservation.</w:t>
            </w:r>
          </w:p>
        </w:tc>
        <w:tc>
          <w:tcPr>
            <w:tcW w:type="dxa" w:w="3312"/>
          </w:tcPr>
          <w:p>
            <w:r>
              <w:rPr>
                <w:rFonts w:ascii="Calibri" w:hAnsi="Calibri"/>
                <w:sz w:val="24"/>
              </w:rPr>
              <w:t>Kwararafa Cultural and Historical Archive</w:t>
            </w:r>
          </w:p>
        </w:tc>
      </w:tr>
      <w:tr>
        <w:tc>
          <w:tcPr>
            <w:tcW w:type="dxa" w:w="2736"/>
          </w:tcPr>
          <w:p>
            <w:r>
              <w:rPr>
                <w:rFonts w:ascii="Calibri" w:hAnsi="Calibri"/>
                <w:sz w:val="24"/>
              </w:rPr>
              <w:t>2. Economic Development &amp; Investment</w:t>
            </w:r>
          </w:p>
        </w:tc>
        <w:tc>
          <w:tcPr>
            <w:tcW w:type="dxa" w:w="5184"/>
          </w:tcPr>
          <w:p>
            <w:r>
              <w:rPr>
                <w:rFonts w:ascii="Calibri" w:hAnsi="Calibri"/>
                <w:sz w:val="24"/>
              </w:rPr>
              <w:t>Investment mobilisation; agriculture; agro-processing; entrepreneurship; SMEs; cooperative development; business networking; diaspora investment; public-private partnerships.</w:t>
            </w:r>
          </w:p>
        </w:tc>
        <w:tc>
          <w:tcPr>
            <w:tcW w:type="dxa" w:w="3312"/>
          </w:tcPr>
          <w:p>
            <w:r>
              <w:rPr>
                <w:rFonts w:ascii="Calibri" w:hAnsi="Calibri"/>
                <w:sz w:val="24"/>
              </w:rPr>
              <w:t>Kwararafa Investment and Economic Summit</w:t>
            </w:r>
          </w:p>
        </w:tc>
      </w:tr>
      <w:tr>
        <w:tc>
          <w:tcPr>
            <w:tcW w:type="dxa" w:w="2736"/>
          </w:tcPr>
          <w:p>
            <w:r>
              <w:rPr>
                <w:rFonts w:ascii="Calibri" w:hAnsi="Calibri"/>
                <w:sz w:val="24"/>
              </w:rPr>
              <w:t>3. Education, Youth &amp; Human Capital</w:t>
            </w:r>
          </w:p>
        </w:tc>
        <w:tc>
          <w:tcPr>
            <w:tcW w:type="dxa" w:w="5184"/>
          </w:tcPr>
          <w:p>
            <w:r>
              <w:rPr>
                <w:rFonts w:ascii="Calibri" w:hAnsi="Calibri"/>
                <w:sz w:val="24"/>
              </w:rPr>
              <w:t>Scholarships; vocational training; youth empowerment; leadership development; professional mentorship; women empowerment; entrepreneurship; professional database.</w:t>
            </w:r>
          </w:p>
        </w:tc>
        <w:tc>
          <w:tcPr>
            <w:tcW w:type="dxa" w:w="3312"/>
          </w:tcPr>
          <w:p>
            <w:r>
              <w:rPr>
                <w:rFonts w:ascii="Calibri" w:hAnsi="Calibri"/>
                <w:sz w:val="24"/>
              </w:rPr>
              <w:t>Kwararafa Human Capital Development Programme</w:t>
            </w:r>
          </w:p>
        </w:tc>
      </w:tr>
      <w:tr>
        <w:tc>
          <w:tcPr>
            <w:tcW w:type="dxa" w:w="2736"/>
          </w:tcPr>
          <w:p>
            <w:r>
              <w:rPr>
                <w:rFonts w:ascii="Calibri" w:hAnsi="Calibri"/>
                <w:sz w:val="24"/>
              </w:rPr>
              <w:t>4. Peace, Security &amp; Community Resilience</w:t>
            </w:r>
          </w:p>
        </w:tc>
        <w:tc>
          <w:tcPr>
            <w:tcW w:type="dxa" w:w="5184"/>
          </w:tcPr>
          <w:p>
            <w:r>
              <w:rPr>
                <w:rFonts w:ascii="Calibri" w:hAnsi="Calibri"/>
                <w:sz w:val="24"/>
              </w:rPr>
              <w:t>Conflict prevention; early-warning mechanisms; community dialogue; peacebuilding; disaster preparedness; community resilience; research on security challenges; liaison with appropriate government institutions. (Focus: peacebuilding/resilience, not partisan or operational security activities.)</w:t>
            </w:r>
          </w:p>
        </w:tc>
        <w:tc>
          <w:tcPr>
            <w:tcW w:type="dxa" w:w="3312"/>
          </w:tcPr>
          <w:p>
            <w:r>
              <w:rPr>
                <w:rFonts w:ascii="Calibri" w:hAnsi="Calibri"/>
                <w:sz w:val="24"/>
              </w:rPr>
              <w:t>Kwararafa Peace and Community Resilience Initiative</w:t>
            </w:r>
          </w:p>
        </w:tc>
      </w:tr>
      <w:tr>
        <w:tc>
          <w:tcPr>
            <w:tcW w:type="dxa" w:w="2736"/>
          </w:tcPr>
          <w:p>
            <w:r>
              <w:rPr>
                <w:rFonts w:ascii="Calibri" w:hAnsi="Calibri"/>
                <w:sz w:val="24"/>
              </w:rPr>
              <w:t>5. Infrastructure, Agriculture &amp; Environment</w:t>
            </w:r>
          </w:p>
        </w:tc>
        <w:tc>
          <w:tcPr>
            <w:tcW w:type="dxa" w:w="5184"/>
          </w:tcPr>
          <w:p>
            <w:r>
              <w:rPr>
                <w:rFonts w:ascii="Calibri" w:hAnsi="Calibri"/>
                <w:sz w:val="24"/>
              </w:rPr>
              <w:t>Community infrastructure; water; healthcare; education facilities; rural development; agriculture; environmental protection; housing; digital connectivity.</w:t>
            </w:r>
          </w:p>
        </w:tc>
        <w:tc>
          <w:tcPr>
            <w:tcW w:type="dxa" w:w="3312"/>
          </w:tcPr>
          <w:p>
            <w:r>
              <w:rPr>
                <w:rFonts w:ascii="Calibri" w:hAnsi="Calibri"/>
                <w:sz w:val="24"/>
              </w:rPr>
              <w:t>Kwararafa Community Development Programme</w:t>
            </w:r>
          </w:p>
        </w:tc>
      </w:tr>
      <w:tr>
        <w:tc>
          <w:tcPr>
            <w:tcW w:type="dxa" w:w="2736"/>
          </w:tcPr>
          <w:p>
            <w:r>
              <w:rPr>
                <w:rFonts w:ascii="Calibri" w:hAnsi="Calibri"/>
                <w:sz w:val="24"/>
              </w:rPr>
              <w:t>6. Research, Policy &amp; Advocacy</w:t>
            </w:r>
          </w:p>
        </w:tc>
        <w:tc>
          <w:tcPr>
            <w:tcW w:type="dxa" w:w="5184"/>
          </w:tcPr>
          <w:p>
            <w:r>
              <w:rPr>
                <w:rFonts w:ascii="Calibri" w:hAnsi="Calibri"/>
                <w:sz w:val="24"/>
              </w:rPr>
              <w:t>Research; policy analysis; development planning; demographic studies; historical research; economic research; infrastructure assessment; documentation of community needs.</w:t>
            </w:r>
          </w:p>
        </w:tc>
        <w:tc>
          <w:tcPr>
            <w:tcW w:type="dxa" w:w="3312"/>
          </w:tcPr>
          <w:p>
            <w:r>
              <w:rPr>
                <w:rFonts w:ascii="Calibri" w:hAnsi="Calibri"/>
                <w:sz w:val="24"/>
              </w:rPr>
              <w:t>Kwararafa Research and Development Institute (KRDI) - to publish the "Annual Kwararafa Development Report"</w:t>
            </w:r>
          </w:p>
        </w:tc>
      </w:tr>
    </w:tbl>
    <w:p/>
    <w:p>
      <w:pPr>
        <w:pStyle w:val="Heading1"/>
      </w:pPr>
      <w:r>
        <w:rPr>
          <w:rFonts w:ascii="Calibri" w:hAnsi="Calibri"/>
          <w:color w:val="1F4E79"/>
          <w:sz w:val="24"/>
        </w:rPr>
        <w:t>11. Regional Structure</w:t>
      </w:r>
    </w:p>
    <w:p>
      <w:r>
        <w:rPr>
          <w:rFonts w:ascii="Calibri" w:hAnsi="Calibri"/>
          <w:b w:val="0"/>
          <w:i w:val="0"/>
          <w:sz w:val="24"/>
        </w:rPr>
        <w:t>To avoid excessive centralisation, KDF shall establish Regional Coordinating Councils.</w:t>
      </w:r>
    </w:p>
    <w:p>
      <w:r>
        <w:rPr>
          <w:rFonts w:ascii="Calibri" w:hAnsi="Calibri"/>
          <w:b w:val="0"/>
          <w:i w:val="0"/>
          <w:sz w:val="24"/>
        </w:rPr>
        <w:t>The regions may broadly correspond to Nigeria's six geopolitical zones, subject to the final constitution and the actual distribution of participating Kwararafa communities.</w:t>
      </w:r>
    </w:p>
    <w:p>
      <w:pPr>
        <w:pStyle w:val="Heading2"/>
      </w:pPr>
      <w:r>
        <w:rPr>
          <w:rFonts w:ascii="Calibri" w:hAnsi="Calibri"/>
          <w:color w:val="1F4E79"/>
          <w:sz w:val="24"/>
        </w:rPr>
        <w:t>Each Regional Council Should Have:</w:t>
      </w:r>
    </w:p>
    <w:p>
      <w:pPr>
        <w:pStyle w:val="ListBullet"/>
      </w:pPr>
      <w:r>
        <w:rPr>
          <w:rFonts w:ascii="Calibri" w:hAnsi="Calibri"/>
          <w:sz w:val="24"/>
        </w:rPr>
        <w:t>Regional Coordinator</w:t>
      </w:r>
    </w:p>
    <w:p>
      <w:pPr>
        <w:pStyle w:val="ListBullet"/>
      </w:pPr>
      <w:r>
        <w:rPr>
          <w:rFonts w:ascii="Calibri" w:hAnsi="Calibri"/>
          <w:sz w:val="24"/>
        </w:rPr>
        <w:t>Secretary</w:t>
      </w:r>
    </w:p>
    <w:p>
      <w:pPr>
        <w:pStyle w:val="ListBullet"/>
      </w:pPr>
      <w:r>
        <w:rPr>
          <w:rFonts w:ascii="Calibri" w:hAnsi="Calibri"/>
          <w:sz w:val="24"/>
        </w:rPr>
        <w:t>Treasurer</w:t>
      </w:r>
    </w:p>
    <w:p>
      <w:pPr>
        <w:pStyle w:val="ListBullet"/>
      </w:pPr>
      <w:r>
        <w:rPr>
          <w:rFonts w:ascii="Calibri" w:hAnsi="Calibri"/>
          <w:sz w:val="24"/>
        </w:rPr>
        <w:t>Youth Coordinator</w:t>
      </w:r>
    </w:p>
    <w:p>
      <w:pPr>
        <w:pStyle w:val="ListBullet"/>
      </w:pPr>
      <w:r>
        <w:rPr>
          <w:rFonts w:ascii="Calibri" w:hAnsi="Calibri"/>
          <w:sz w:val="24"/>
        </w:rPr>
        <w:t>Women Coordinator</w:t>
      </w:r>
    </w:p>
    <w:p>
      <w:pPr>
        <w:pStyle w:val="ListBullet"/>
      </w:pPr>
      <w:r>
        <w:rPr>
          <w:rFonts w:ascii="Calibri" w:hAnsi="Calibri"/>
          <w:sz w:val="24"/>
        </w:rPr>
        <w:t>Development Coordinator</w:t>
      </w:r>
    </w:p>
    <w:p>
      <w:r>
        <w:rPr>
          <w:rFonts w:ascii="Calibri" w:hAnsi="Calibri"/>
          <w:b w:val="0"/>
          <w:i w:val="0"/>
          <w:sz w:val="24"/>
        </w:rPr>
        <w:t>The Regional Council shall coordinate activities between the National Secretariat and State Chapters.</w:t>
      </w:r>
    </w:p>
    <w:p>
      <w:pPr>
        <w:pStyle w:val="Heading1"/>
      </w:pPr>
      <w:r>
        <w:rPr>
          <w:rFonts w:ascii="Calibri" w:hAnsi="Calibri"/>
          <w:color w:val="1F4E79"/>
          <w:sz w:val="24"/>
        </w:rPr>
        <w:t>12. State Chapter</w:t>
      </w:r>
    </w:p>
    <w:p>
      <w:r>
        <w:rPr>
          <w:rFonts w:ascii="Calibri" w:hAnsi="Calibri"/>
          <w:b w:val="0"/>
          <w:i w:val="0"/>
          <w:sz w:val="24"/>
        </w:rPr>
        <w:t>Each state chapter should remain deliberately lean.</w:t>
      </w:r>
    </w:p>
    <w:p>
      <w:pPr>
        <w:pStyle w:val="Heading2"/>
      </w:pPr>
      <w:r>
        <w:rPr>
          <w:rFonts w:ascii="Calibri" w:hAnsi="Calibri"/>
          <w:color w:val="1F4E79"/>
          <w:sz w:val="24"/>
        </w:rPr>
        <w:t>Proposed Structure</w:t>
      </w:r>
    </w:p>
    <w:p>
      <w:pPr>
        <w:pStyle w:val="ListBullet"/>
      </w:pPr>
      <w:r>
        <w:rPr>
          <w:rFonts w:ascii="Calibri" w:hAnsi="Calibri"/>
          <w:sz w:val="24"/>
        </w:rPr>
        <w:t>State Coordinator/Chairman</w:t>
      </w:r>
    </w:p>
    <w:p>
      <w:pPr>
        <w:pStyle w:val="ListBullet"/>
      </w:pPr>
      <w:r>
        <w:rPr>
          <w:rFonts w:ascii="Calibri" w:hAnsi="Calibri"/>
          <w:sz w:val="24"/>
        </w:rPr>
        <w:t>Secretary</w:t>
      </w:r>
    </w:p>
    <w:p>
      <w:pPr>
        <w:pStyle w:val="ListBullet"/>
      </w:pPr>
      <w:r>
        <w:rPr>
          <w:rFonts w:ascii="Calibri" w:hAnsi="Calibri"/>
          <w:sz w:val="24"/>
        </w:rPr>
        <w:t>Treasurer</w:t>
      </w:r>
    </w:p>
    <w:p>
      <w:pPr>
        <w:pStyle w:val="ListBullet"/>
      </w:pPr>
      <w:r>
        <w:rPr>
          <w:rFonts w:ascii="Calibri" w:hAnsi="Calibri"/>
          <w:sz w:val="24"/>
        </w:rPr>
        <w:t>Women Coordinator</w:t>
      </w:r>
    </w:p>
    <w:p>
      <w:pPr>
        <w:pStyle w:val="ListBullet"/>
      </w:pPr>
      <w:r>
        <w:rPr>
          <w:rFonts w:ascii="Calibri" w:hAnsi="Calibri"/>
          <w:sz w:val="24"/>
        </w:rPr>
        <w:t>Youth Coordinator</w:t>
      </w:r>
    </w:p>
    <w:p>
      <w:pPr>
        <w:pStyle w:val="ListBullet"/>
      </w:pPr>
      <w:r>
        <w:rPr>
          <w:rFonts w:ascii="Calibri" w:hAnsi="Calibri"/>
          <w:sz w:val="24"/>
        </w:rPr>
        <w:t>Development/Projects Officer</w:t>
      </w:r>
    </w:p>
    <w:p>
      <w:pPr>
        <w:pStyle w:val="ListBullet"/>
      </w:pPr>
      <w:r>
        <w:rPr>
          <w:rFonts w:ascii="Calibri" w:hAnsi="Calibri"/>
          <w:sz w:val="24"/>
        </w:rPr>
        <w:t>Organising Officer</w:t>
      </w:r>
    </w:p>
    <w:p>
      <w:pPr>
        <w:pStyle w:val="Heading2"/>
      </w:pPr>
      <w:r>
        <w:rPr>
          <w:rFonts w:ascii="Calibri" w:hAnsi="Calibri"/>
          <w:color w:val="1F4E79"/>
          <w:sz w:val="24"/>
        </w:rPr>
        <w:t>The State Chapter Shall:</w:t>
      </w:r>
    </w:p>
    <w:p>
      <w:pPr>
        <w:pStyle w:val="ListBullet"/>
      </w:pPr>
      <w:r>
        <w:rPr>
          <w:rFonts w:ascii="Calibri" w:hAnsi="Calibri"/>
          <w:sz w:val="24"/>
        </w:rPr>
        <w:t>Mobilise members.</w:t>
      </w:r>
    </w:p>
    <w:p>
      <w:pPr>
        <w:pStyle w:val="ListBullet"/>
      </w:pPr>
      <w:r>
        <w:rPr>
          <w:rFonts w:ascii="Calibri" w:hAnsi="Calibri"/>
          <w:sz w:val="24"/>
        </w:rPr>
        <w:t>Identify development priorities.</w:t>
      </w:r>
    </w:p>
    <w:p>
      <w:pPr>
        <w:pStyle w:val="ListBullet"/>
      </w:pPr>
      <w:r>
        <w:rPr>
          <w:rFonts w:ascii="Calibri" w:hAnsi="Calibri"/>
          <w:sz w:val="24"/>
        </w:rPr>
        <w:t>Coordinate community chapters.</w:t>
      </w:r>
    </w:p>
    <w:p>
      <w:pPr>
        <w:pStyle w:val="ListBullet"/>
      </w:pPr>
      <w:r>
        <w:rPr>
          <w:rFonts w:ascii="Calibri" w:hAnsi="Calibri"/>
          <w:sz w:val="24"/>
        </w:rPr>
        <w:t>Maintain membership records.</w:t>
      </w:r>
    </w:p>
    <w:p>
      <w:pPr>
        <w:pStyle w:val="ListBullet"/>
      </w:pPr>
      <w:r>
        <w:rPr>
          <w:rFonts w:ascii="Calibri" w:hAnsi="Calibri"/>
          <w:sz w:val="24"/>
        </w:rPr>
        <w:t>Implement national programmes.</w:t>
      </w:r>
    </w:p>
    <w:p>
      <w:pPr>
        <w:pStyle w:val="ListBullet"/>
      </w:pPr>
      <w:r>
        <w:rPr>
          <w:rFonts w:ascii="Calibri" w:hAnsi="Calibri"/>
          <w:sz w:val="24"/>
        </w:rPr>
        <w:t>Submit quarterly reports to the Regional Council.</w:t>
      </w:r>
    </w:p>
    <w:p>
      <w:pPr>
        <w:pStyle w:val="Heading1"/>
      </w:pPr>
      <w:r>
        <w:rPr>
          <w:rFonts w:ascii="Calibri" w:hAnsi="Calibri"/>
          <w:color w:val="1F4E79"/>
          <w:sz w:val="24"/>
        </w:rPr>
        <w:t>13. Community Chapter</w:t>
      </w:r>
    </w:p>
    <w:p>
      <w:r>
        <w:rPr>
          <w:rFonts w:ascii="Calibri" w:hAnsi="Calibri"/>
          <w:b w:val="0"/>
          <w:i w:val="0"/>
          <w:sz w:val="24"/>
        </w:rPr>
        <w:t>At grassroots level, KDF should operate through a simple structure: a Community Coordinator supported by a small Community Committee.</w:t>
      </w:r>
    </w:p>
    <w:p>
      <w:r>
        <w:rPr>
          <w:rFonts w:ascii="Calibri" w:hAnsi="Calibri"/>
          <w:b/>
          <w:i w:val="0"/>
          <w:sz w:val="24"/>
        </w:rPr>
        <w:t>The Community Chapter shall identify:</w:t>
      </w:r>
    </w:p>
    <w:p>
      <w:pPr>
        <w:pStyle w:val="ListBullet"/>
      </w:pPr>
      <w:r>
        <w:rPr>
          <w:rFonts w:ascii="Calibri" w:hAnsi="Calibri"/>
          <w:sz w:val="24"/>
        </w:rPr>
        <w:t>Education needs</w:t>
      </w:r>
    </w:p>
    <w:p>
      <w:pPr>
        <w:pStyle w:val="ListBullet"/>
      </w:pPr>
      <w:r>
        <w:rPr>
          <w:rFonts w:ascii="Calibri" w:hAnsi="Calibri"/>
          <w:sz w:val="24"/>
        </w:rPr>
        <w:t>Healthcare needs</w:t>
      </w:r>
    </w:p>
    <w:p>
      <w:pPr>
        <w:pStyle w:val="ListBullet"/>
      </w:pPr>
      <w:r>
        <w:rPr>
          <w:rFonts w:ascii="Calibri" w:hAnsi="Calibri"/>
          <w:sz w:val="24"/>
        </w:rPr>
        <w:t>Infrastructure requirements</w:t>
      </w:r>
    </w:p>
    <w:p>
      <w:pPr>
        <w:pStyle w:val="ListBullet"/>
      </w:pPr>
      <w:r>
        <w:rPr>
          <w:rFonts w:ascii="Calibri" w:hAnsi="Calibri"/>
          <w:sz w:val="24"/>
        </w:rPr>
        <w:t>Agricultural opportunities</w:t>
      </w:r>
    </w:p>
    <w:p>
      <w:pPr>
        <w:pStyle w:val="ListBullet"/>
      </w:pPr>
      <w:r>
        <w:rPr>
          <w:rFonts w:ascii="Calibri" w:hAnsi="Calibri"/>
          <w:sz w:val="24"/>
        </w:rPr>
        <w:t>Youth opportunities</w:t>
      </w:r>
    </w:p>
    <w:p>
      <w:pPr>
        <w:pStyle w:val="ListBullet"/>
      </w:pPr>
      <w:r>
        <w:rPr>
          <w:rFonts w:ascii="Calibri" w:hAnsi="Calibri"/>
          <w:sz w:val="24"/>
        </w:rPr>
        <w:t>Women development needs</w:t>
      </w:r>
    </w:p>
    <w:p>
      <w:pPr>
        <w:pStyle w:val="ListBullet"/>
      </w:pPr>
      <w:r>
        <w:rPr>
          <w:rFonts w:ascii="Calibri" w:hAnsi="Calibri"/>
          <w:sz w:val="24"/>
        </w:rPr>
        <w:t>Community conflicts</w:t>
      </w:r>
    </w:p>
    <w:p>
      <w:pPr>
        <w:pStyle w:val="ListBullet"/>
      </w:pPr>
      <w:r>
        <w:rPr>
          <w:rFonts w:ascii="Calibri" w:hAnsi="Calibri"/>
          <w:sz w:val="24"/>
        </w:rPr>
        <w:t>Local investment opportunities</w:t>
      </w:r>
    </w:p>
    <w:p>
      <w:r>
        <w:rPr>
          <w:rFonts w:ascii="Calibri" w:hAnsi="Calibri"/>
          <w:b w:val="0"/>
          <w:i/>
          <w:sz w:val="24"/>
        </w:rPr>
        <w:t>This information should feed directly into the KDF development planning system.</w:t>
      </w:r>
    </w:p>
    <w:p>
      <w:pPr>
        <w:pStyle w:val="Heading1"/>
      </w:pPr>
      <w:r>
        <w:rPr>
          <w:rFonts w:ascii="Calibri" w:hAnsi="Calibri"/>
          <w:color w:val="1F4E79"/>
          <w:sz w:val="24"/>
        </w:rPr>
        <w:t>14. Presidential Advisory Council</w:t>
      </w:r>
    </w:p>
    <w:p>
      <w:r>
        <w:rPr>
          <w:rFonts w:ascii="Calibri" w:hAnsi="Calibri"/>
          <w:b w:val="0"/>
          <w:i w:val="0"/>
          <w:sz w:val="24"/>
        </w:rPr>
        <w:t>The President may establish a Presidential Advisory Council of approximately 10-15 distinguished persons.</w:t>
      </w:r>
    </w:p>
    <w:p>
      <w:r>
        <w:rPr>
          <w:rFonts w:ascii="Calibri" w:hAnsi="Calibri"/>
          <w:b/>
          <w:i w:val="0"/>
          <w:sz w:val="24"/>
        </w:rPr>
        <w:t>Membership may include:</w:t>
      </w:r>
    </w:p>
    <w:p>
      <w:pPr>
        <w:pStyle w:val="ListBullet"/>
      </w:pPr>
      <w:r>
        <w:rPr>
          <w:rFonts w:ascii="Calibri" w:hAnsi="Calibri"/>
          <w:sz w:val="24"/>
        </w:rPr>
        <w:t>Senior academics</w:t>
      </w:r>
    </w:p>
    <w:p>
      <w:pPr>
        <w:pStyle w:val="ListBullet"/>
      </w:pPr>
      <w:r>
        <w:rPr>
          <w:rFonts w:ascii="Calibri" w:hAnsi="Calibri"/>
          <w:sz w:val="24"/>
        </w:rPr>
        <w:t>Business leaders</w:t>
      </w:r>
    </w:p>
    <w:p>
      <w:pPr>
        <w:pStyle w:val="ListBullet"/>
      </w:pPr>
      <w:r>
        <w:rPr>
          <w:rFonts w:ascii="Calibri" w:hAnsi="Calibri"/>
          <w:sz w:val="24"/>
        </w:rPr>
        <w:t>Professionals</w:t>
      </w:r>
    </w:p>
    <w:p>
      <w:pPr>
        <w:pStyle w:val="ListBullet"/>
      </w:pPr>
      <w:r>
        <w:rPr>
          <w:rFonts w:ascii="Calibri" w:hAnsi="Calibri"/>
          <w:sz w:val="24"/>
        </w:rPr>
        <w:t>Traditional leaders</w:t>
      </w:r>
    </w:p>
    <w:p>
      <w:pPr>
        <w:pStyle w:val="ListBullet"/>
      </w:pPr>
      <w:r>
        <w:rPr>
          <w:rFonts w:ascii="Calibri" w:hAnsi="Calibri"/>
          <w:sz w:val="24"/>
        </w:rPr>
        <w:t>Security and peacebuilding experts</w:t>
      </w:r>
    </w:p>
    <w:p>
      <w:pPr>
        <w:pStyle w:val="ListBullet"/>
      </w:pPr>
      <w:r>
        <w:rPr>
          <w:rFonts w:ascii="Calibri" w:hAnsi="Calibri"/>
          <w:sz w:val="24"/>
        </w:rPr>
        <w:t>Lawyers</w:t>
      </w:r>
    </w:p>
    <w:p>
      <w:pPr>
        <w:pStyle w:val="ListBullet"/>
      </w:pPr>
      <w:r>
        <w:rPr>
          <w:rFonts w:ascii="Calibri" w:hAnsi="Calibri"/>
          <w:sz w:val="24"/>
        </w:rPr>
        <w:t>Economists</w:t>
      </w:r>
    </w:p>
    <w:p>
      <w:pPr>
        <w:pStyle w:val="ListBullet"/>
      </w:pPr>
      <w:r>
        <w:rPr>
          <w:rFonts w:ascii="Calibri" w:hAnsi="Calibri"/>
          <w:sz w:val="24"/>
        </w:rPr>
        <w:t>Engineers</w:t>
      </w:r>
    </w:p>
    <w:p>
      <w:pPr>
        <w:pStyle w:val="ListBullet"/>
      </w:pPr>
      <w:r>
        <w:rPr>
          <w:rFonts w:ascii="Calibri" w:hAnsi="Calibri"/>
          <w:sz w:val="24"/>
        </w:rPr>
        <w:t>Medical professionals</w:t>
      </w:r>
    </w:p>
    <w:p>
      <w:pPr>
        <w:pStyle w:val="ListBullet"/>
      </w:pPr>
      <w:r>
        <w:rPr>
          <w:rFonts w:ascii="Calibri" w:hAnsi="Calibri"/>
          <w:sz w:val="24"/>
        </w:rPr>
        <w:t>Women leaders</w:t>
      </w:r>
    </w:p>
    <w:p>
      <w:pPr>
        <w:pStyle w:val="ListBullet"/>
      </w:pPr>
      <w:r>
        <w:rPr>
          <w:rFonts w:ascii="Calibri" w:hAnsi="Calibri"/>
          <w:sz w:val="24"/>
        </w:rPr>
        <w:t>Youth representatives</w:t>
      </w:r>
    </w:p>
    <w:p>
      <w:pPr>
        <w:pStyle w:val="ListBullet"/>
      </w:pPr>
      <w:r>
        <w:rPr>
          <w:rFonts w:ascii="Calibri" w:hAnsi="Calibri"/>
          <w:sz w:val="24"/>
        </w:rPr>
        <w:t>Diaspora representatives</w:t>
      </w:r>
    </w:p>
    <w:p>
      <w:r>
        <w:rPr>
          <w:rFonts w:ascii="Calibri" w:hAnsi="Calibri"/>
          <w:b w:val="0"/>
          <w:i w:val="0"/>
          <w:sz w:val="24"/>
        </w:rPr>
        <w:t>The Council shall provide strategic advice but shall not replace the constitutional organs of KDF.</w:t>
      </w:r>
    </w:p>
    <w:p>
      <w:pPr>
        <w:pStyle w:val="Heading1"/>
      </w:pPr>
      <w:r>
        <w:rPr>
          <w:rFonts w:ascii="Calibri" w:hAnsi="Calibri"/>
          <w:color w:val="1F4E79"/>
          <w:sz w:val="24"/>
        </w:rPr>
        <w:t>15. Kwararafa Development Fund</w:t>
      </w:r>
    </w:p>
    <w:p>
      <w:r>
        <w:rPr>
          <w:rFonts w:ascii="Calibri" w:hAnsi="Calibri"/>
          <w:b w:val="0"/>
          <w:i w:val="0"/>
          <w:sz w:val="24"/>
        </w:rPr>
        <w:t>A dedicated Kwararafa Development Fund (KDF Fund) should be established. Its purpose shall be to finance approved development initiatives.</w:t>
      </w:r>
    </w:p>
    <w:tbl>
      <w:tblPr>
        <w:tblStyle w:val="TableGrid"/>
        <w:tblW w:type="auto" w:w="0"/>
        <w:jc w:val="center"/>
        <w:tblLook w:firstColumn="1" w:firstRow="1" w:lastColumn="0" w:lastRow="0" w:noHBand="0" w:noVBand="1" w:val="04A0"/>
      </w:tblPr>
      <w:tblGrid>
        <w:gridCol w:w="4320"/>
        <w:gridCol w:w="4320"/>
      </w:tblGrid>
      <w:tr>
        <w:tc>
          <w:tcPr>
            <w:tcW w:type="dxa" w:w="5184"/>
            <w:shd w:val="clear" w:color="auto" w:fill="1F4E79"/>
          </w:tcPr>
          <w:p>
            <w:r>
              <w:rPr>
                <w:rFonts w:ascii="Calibri" w:hAnsi="Calibri"/>
                <w:b/>
                <w:color w:val="FFFFFF"/>
                <w:sz w:val="24"/>
              </w:rPr>
              <w:t>Possible Sources</w:t>
            </w:r>
          </w:p>
        </w:tc>
        <w:tc>
          <w:tcPr>
            <w:tcW w:type="dxa" w:w="5184"/>
            <w:shd w:val="clear" w:color="auto" w:fill="1F4E79"/>
          </w:tcPr>
          <w:p>
            <w:r>
              <w:rPr>
                <w:rFonts w:ascii="Calibri" w:hAnsi="Calibri"/>
                <w:b/>
                <w:color w:val="FFFFFF"/>
                <w:sz w:val="24"/>
              </w:rPr>
              <w:t>Financial Safeguards</w:t>
            </w:r>
          </w:p>
        </w:tc>
      </w:tr>
      <w:tr>
        <w:tc>
          <w:tcPr>
            <w:tcW w:type="dxa" w:w="5184"/>
          </w:tcPr>
          <w:p>
            <w:r>
              <w:rPr>
                <w:rFonts w:ascii="Calibri" w:hAnsi="Calibri"/>
                <w:sz w:val="24"/>
              </w:rPr>
              <w:t>Membership contributions</w:t>
            </w:r>
          </w:p>
        </w:tc>
        <w:tc>
          <w:tcPr>
            <w:tcW w:type="dxa" w:w="5184"/>
          </w:tcPr>
          <w:p>
            <w:r>
              <w:rPr>
                <w:rFonts w:ascii="Calibri" w:hAnsi="Calibri"/>
                <w:sz w:val="24"/>
              </w:rPr>
              <w:t>Separate development and administrative accounts</w:t>
            </w:r>
          </w:p>
        </w:tc>
      </w:tr>
      <w:tr>
        <w:tc>
          <w:tcPr>
            <w:tcW w:type="dxa" w:w="5184"/>
          </w:tcPr>
          <w:p>
            <w:r>
              <w:rPr>
                <w:rFonts w:ascii="Calibri" w:hAnsi="Calibri"/>
                <w:sz w:val="24"/>
              </w:rPr>
              <w:t>Donations</w:t>
            </w:r>
          </w:p>
        </w:tc>
        <w:tc>
          <w:tcPr>
            <w:tcW w:type="dxa" w:w="5184"/>
          </w:tcPr>
          <w:p>
            <w:r>
              <w:rPr>
                <w:rFonts w:ascii="Calibri" w:hAnsi="Calibri"/>
                <w:sz w:val="24"/>
              </w:rPr>
              <w:t>Dual authorisation for withdrawals</w:t>
            </w:r>
          </w:p>
        </w:tc>
      </w:tr>
      <w:tr>
        <w:tc>
          <w:tcPr>
            <w:tcW w:type="dxa" w:w="5184"/>
          </w:tcPr>
          <w:p>
            <w:r>
              <w:rPr>
                <w:rFonts w:ascii="Calibri" w:hAnsi="Calibri"/>
                <w:sz w:val="24"/>
              </w:rPr>
              <w:t>Philanthropy</w:t>
            </w:r>
          </w:p>
        </w:tc>
        <w:tc>
          <w:tcPr>
            <w:tcW w:type="dxa" w:w="5184"/>
          </w:tcPr>
          <w:p>
            <w:r>
              <w:rPr>
                <w:rFonts w:ascii="Calibri" w:hAnsi="Calibri"/>
                <w:sz w:val="24"/>
              </w:rPr>
              <w:t>Proper financial records</w:t>
            </w:r>
          </w:p>
        </w:tc>
      </w:tr>
      <w:tr>
        <w:tc>
          <w:tcPr>
            <w:tcW w:type="dxa" w:w="5184"/>
          </w:tcPr>
          <w:p>
            <w:r>
              <w:rPr>
                <w:rFonts w:ascii="Calibri" w:hAnsi="Calibri"/>
                <w:sz w:val="24"/>
              </w:rPr>
              <w:t>Corporate partnerships</w:t>
            </w:r>
          </w:p>
        </w:tc>
        <w:tc>
          <w:tcPr>
            <w:tcW w:type="dxa" w:w="5184"/>
          </w:tcPr>
          <w:p>
            <w:r>
              <w:rPr>
                <w:rFonts w:ascii="Calibri" w:hAnsi="Calibri"/>
                <w:sz w:val="24"/>
              </w:rPr>
              <w:t>Annual independent audit</w:t>
            </w:r>
          </w:p>
        </w:tc>
      </w:tr>
      <w:tr>
        <w:tc>
          <w:tcPr>
            <w:tcW w:type="dxa" w:w="5184"/>
          </w:tcPr>
          <w:p>
            <w:r>
              <w:rPr>
                <w:rFonts w:ascii="Calibri" w:hAnsi="Calibri"/>
                <w:sz w:val="24"/>
              </w:rPr>
              <w:t>Diaspora contributions</w:t>
            </w:r>
          </w:p>
        </w:tc>
        <w:tc>
          <w:tcPr>
            <w:tcW w:type="dxa" w:w="5184"/>
          </w:tcPr>
          <w:p>
            <w:r>
              <w:rPr>
                <w:rFonts w:ascii="Calibri" w:hAnsi="Calibri"/>
                <w:sz w:val="24"/>
              </w:rPr>
              <w:t>Annual financial report to members</w:t>
            </w:r>
          </w:p>
        </w:tc>
      </w:tr>
      <w:tr>
        <w:tc>
          <w:tcPr>
            <w:tcW w:type="dxa" w:w="5184"/>
          </w:tcPr>
          <w:p>
            <w:r>
              <w:rPr>
                <w:rFonts w:ascii="Calibri" w:hAnsi="Calibri"/>
                <w:sz w:val="24"/>
              </w:rPr>
              <w:t>Development agencies</w:t>
            </w:r>
          </w:p>
        </w:tc>
        <w:tc>
          <w:tcPr>
            <w:tcW w:type="dxa" w:w="5184"/>
          </w:tcPr>
          <w:p>
            <w:r>
              <w:rPr>
                <w:rFonts w:ascii="Calibri" w:hAnsi="Calibri"/>
                <w:sz w:val="24"/>
              </w:rPr>
              <w:t>Clear procurement procedures</w:t>
            </w:r>
          </w:p>
        </w:tc>
      </w:tr>
      <w:tr>
        <w:tc>
          <w:tcPr>
            <w:tcW w:type="dxa" w:w="5184"/>
          </w:tcPr>
          <w:p>
            <w:r>
              <w:rPr>
                <w:rFonts w:ascii="Calibri" w:hAnsi="Calibri"/>
                <w:sz w:val="24"/>
              </w:rPr>
              <w:t>Endowments / Investment income / Fundraising programmes</w:t>
            </w:r>
          </w:p>
        </w:tc>
        <w:tc>
          <w:tcPr>
            <w:tcW w:type="dxa" w:w="5184"/>
          </w:tcPr>
          <w:p>
            <w:r>
              <w:rPr>
                <w:rFonts w:ascii="Calibri" w:hAnsi="Calibri"/>
                <w:sz w:val="24"/>
              </w:rPr>
              <w:t>No individual officer shall have unilateral control over KDF funds</w:t>
            </w:r>
          </w:p>
        </w:tc>
      </w:tr>
    </w:tbl>
    <w:p/>
    <w:p>
      <w:pPr>
        <w:pStyle w:val="Heading1"/>
      </w:pPr>
      <w:r>
        <w:rPr>
          <w:rFonts w:ascii="Calibri" w:hAnsi="Calibri"/>
          <w:color w:val="1F4E79"/>
          <w:sz w:val="24"/>
        </w:rPr>
        <w:t>16. Membership</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1F4E79"/>
          </w:tcPr>
          <w:p>
            <w:r>
              <w:rPr>
                <w:rFonts w:ascii="Calibri" w:hAnsi="Calibri"/>
                <w:b/>
                <w:color w:val="FFFFFF"/>
                <w:sz w:val="24"/>
              </w:rPr>
              <w:t>Category</w:t>
            </w:r>
          </w:p>
        </w:tc>
        <w:tc>
          <w:tcPr>
            <w:tcW w:type="dxa" w:w="7200"/>
            <w:shd w:val="clear" w:color="auto" w:fill="1F4E79"/>
          </w:tcPr>
          <w:p>
            <w:r>
              <w:rPr>
                <w:rFonts w:ascii="Calibri" w:hAnsi="Calibri"/>
                <w:b/>
                <w:color w:val="FFFFFF"/>
                <w:sz w:val="24"/>
              </w:rPr>
              <w:t>Description</w:t>
            </w:r>
          </w:p>
        </w:tc>
      </w:tr>
      <w:tr>
        <w:tc>
          <w:tcPr>
            <w:tcW w:type="dxa" w:w="2880"/>
          </w:tcPr>
          <w:p>
            <w:r>
              <w:rPr>
                <w:rFonts w:ascii="Calibri" w:hAnsi="Calibri"/>
                <w:sz w:val="24"/>
              </w:rPr>
              <w:t>A. Individual Members</w:t>
            </w:r>
          </w:p>
        </w:tc>
        <w:tc>
          <w:tcPr>
            <w:tcW w:type="dxa" w:w="7200"/>
          </w:tcPr>
          <w:p>
            <w:r>
              <w:rPr>
                <w:rFonts w:ascii="Calibri" w:hAnsi="Calibri"/>
                <w:sz w:val="24"/>
              </w:rPr>
              <w:t>Ordinary members who subscribe to the objectives of KDF.</w:t>
            </w:r>
          </w:p>
        </w:tc>
      </w:tr>
      <w:tr>
        <w:tc>
          <w:tcPr>
            <w:tcW w:type="dxa" w:w="2880"/>
          </w:tcPr>
          <w:p>
            <w:r>
              <w:rPr>
                <w:rFonts w:ascii="Calibri" w:hAnsi="Calibri"/>
                <w:sz w:val="24"/>
              </w:rPr>
              <w:t>B. Professional Members</w:t>
            </w:r>
          </w:p>
        </w:tc>
        <w:tc>
          <w:tcPr>
            <w:tcW w:type="dxa" w:w="7200"/>
          </w:tcPr>
          <w:p>
            <w:r>
              <w:rPr>
                <w:rFonts w:ascii="Calibri" w:hAnsi="Calibri"/>
                <w:sz w:val="24"/>
              </w:rPr>
              <w:t>Qualified professionals who contribute specialised knowledge.</w:t>
            </w:r>
          </w:p>
        </w:tc>
      </w:tr>
      <w:tr>
        <w:tc>
          <w:tcPr>
            <w:tcW w:type="dxa" w:w="2880"/>
          </w:tcPr>
          <w:p>
            <w:r>
              <w:rPr>
                <w:rFonts w:ascii="Calibri" w:hAnsi="Calibri"/>
                <w:sz w:val="24"/>
              </w:rPr>
              <w:t>C. Institutional Members</w:t>
            </w:r>
          </w:p>
        </w:tc>
        <w:tc>
          <w:tcPr>
            <w:tcW w:type="dxa" w:w="7200"/>
          </w:tcPr>
          <w:p>
            <w:r>
              <w:rPr>
                <w:rFonts w:ascii="Calibri" w:hAnsi="Calibri"/>
                <w:sz w:val="24"/>
              </w:rPr>
              <w:t>Recognised organisations, associations and community development bodies.</w:t>
            </w:r>
          </w:p>
        </w:tc>
      </w:tr>
      <w:tr>
        <w:tc>
          <w:tcPr>
            <w:tcW w:type="dxa" w:w="2880"/>
          </w:tcPr>
          <w:p>
            <w:r>
              <w:rPr>
                <w:rFonts w:ascii="Calibri" w:hAnsi="Calibri"/>
                <w:sz w:val="24"/>
              </w:rPr>
              <w:t>D. Youth Members</w:t>
            </w:r>
          </w:p>
        </w:tc>
        <w:tc>
          <w:tcPr>
            <w:tcW w:type="dxa" w:w="7200"/>
          </w:tcPr>
          <w:p>
            <w:r>
              <w:rPr>
                <w:rFonts w:ascii="Calibri" w:hAnsi="Calibri"/>
                <w:sz w:val="24"/>
              </w:rPr>
              <w:t>Young people participating in KDF programmes.</w:t>
            </w:r>
          </w:p>
        </w:tc>
      </w:tr>
      <w:tr>
        <w:tc>
          <w:tcPr>
            <w:tcW w:type="dxa" w:w="2880"/>
          </w:tcPr>
          <w:p>
            <w:r>
              <w:rPr>
                <w:rFonts w:ascii="Calibri" w:hAnsi="Calibri"/>
                <w:sz w:val="24"/>
              </w:rPr>
              <w:t>E. Honorary Members</w:t>
            </w:r>
          </w:p>
        </w:tc>
        <w:tc>
          <w:tcPr>
            <w:tcW w:type="dxa" w:w="7200"/>
          </w:tcPr>
          <w:p>
            <w:r>
              <w:rPr>
                <w:rFonts w:ascii="Calibri" w:hAnsi="Calibri"/>
                <w:sz w:val="24"/>
              </w:rPr>
              <w:t>Distinguished persons who have made significant contributions to KDF objectives.</w:t>
            </w:r>
          </w:p>
        </w:tc>
      </w:tr>
      <w:tr>
        <w:tc>
          <w:tcPr>
            <w:tcW w:type="dxa" w:w="2880"/>
          </w:tcPr>
          <w:p>
            <w:r>
              <w:rPr>
                <w:rFonts w:ascii="Calibri" w:hAnsi="Calibri"/>
                <w:sz w:val="24"/>
              </w:rPr>
              <w:t>F. Diaspora Members</w:t>
            </w:r>
          </w:p>
        </w:tc>
        <w:tc>
          <w:tcPr>
            <w:tcW w:type="dxa" w:w="7200"/>
          </w:tcPr>
          <w:p>
            <w:r>
              <w:rPr>
                <w:rFonts w:ascii="Calibri" w:hAnsi="Calibri"/>
                <w:sz w:val="24"/>
              </w:rPr>
              <w:t>Kwararafa persons living outside Nigeria who wish to contribute to development.</w:t>
            </w:r>
          </w:p>
        </w:tc>
      </w:tr>
    </w:tbl>
    <w:p/>
    <w:p>
      <w:pPr>
        <w:pStyle w:val="Heading1"/>
      </w:pPr>
      <w:r>
        <w:rPr>
          <w:rFonts w:ascii="Calibri" w:hAnsi="Calibri"/>
          <w:color w:val="1F4E79"/>
          <w:sz w:val="24"/>
        </w:rPr>
        <w:t>17. The KDF Professional Register</w:t>
      </w:r>
    </w:p>
    <w:p>
      <w:r>
        <w:rPr>
          <w:rFonts w:ascii="Calibri" w:hAnsi="Calibri"/>
          <w:b w:val="0"/>
          <w:i w:val="0"/>
          <w:sz w:val="24"/>
        </w:rPr>
        <w:t>One of the first practical projects should be the creation of a "Kwararafa Professional and Skills Register". It should voluntarily capture areas of expertise such as: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7F7F7F"/>
          </w:tcPr>
          <w:p>
            <w:r>
              <w:rPr>
                <w:rFonts w:ascii="Calibri" w:hAnsi="Calibri"/>
                <w:b/>
                <w:color w:val="FFFFFF"/>
                <w:sz w:val="24"/>
              </w:rPr>
              <w:t>Medicine</w:t>
            </w:r>
          </w:p>
        </w:tc>
        <w:tc>
          <w:tcPr>
            <w:tcW w:type="dxa" w:w="1234"/>
            <w:shd w:val="clear" w:color="auto" w:fill="7F7F7F"/>
          </w:tcPr>
          <w:p>
            <w:r>
              <w:rPr>
                <w:rFonts w:ascii="Calibri" w:hAnsi="Calibri"/>
                <w:b/>
                <w:color w:val="FFFFFF"/>
                <w:sz w:val="24"/>
              </w:rPr>
              <w:t>Engineering</w:t>
            </w:r>
          </w:p>
        </w:tc>
        <w:tc>
          <w:tcPr>
            <w:tcW w:type="dxa" w:w="1234"/>
            <w:shd w:val="clear" w:color="auto" w:fill="7F7F7F"/>
          </w:tcPr>
          <w:p>
            <w:r>
              <w:rPr>
                <w:rFonts w:ascii="Calibri" w:hAnsi="Calibri"/>
                <w:b/>
                <w:color w:val="FFFFFF"/>
                <w:sz w:val="24"/>
              </w:rPr>
              <w:t>Law</w:t>
            </w:r>
          </w:p>
        </w:tc>
        <w:tc>
          <w:tcPr>
            <w:tcW w:type="dxa" w:w="1234"/>
            <w:shd w:val="clear" w:color="auto" w:fill="7F7F7F"/>
          </w:tcPr>
          <w:p>
            <w:r>
              <w:rPr>
                <w:rFonts w:ascii="Calibri" w:hAnsi="Calibri"/>
                <w:b/>
                <w:color w:val="FFFFFF"/>
                <w:sz w:val="24"/>
              </w:rPr>
              <w:t>ICT</w:t>
            </w:r>
          </w:p>
        </w:tc>
        <w:tc>
          <w:tcPr>
            <w:tcW w:type="dxa" w:w="1234"/>
            <w:shd w:val="clear" w:color="auto" w:fill="7F7F7F"/>
          </w:tcPr>
          <w:p>
            <w:r>
              <w:rPr>
                <w:rFonts w:ascii="Calibri" w:hAnsi="Calibri"/>
                <w:b/>
                <w:color w:val="FFFFFF"/>
                <w:sz w:val="24"/>
              </w:rPr>
              <w:t>Aviation</w:t>
            </w:r>
          </w:p>
        </w:tc>
        <w:tc>
          <w:tcPr>
            <w:tcW w:type="dxa" w:w="1234"/>
            <w:shd w:val="clear" w:color="auto" w:fill="7F7F7F"/>
          </w:tcPr>
          <w:p>
            <w:r>
              <w:rPr>
                <w:rFonts w:ascii="Calibri" w:hAnsi="Calibri"/>
                <w:b/>
                <w:color w:val="FFFFFF"/>
                <w:sz w:val="24"/>
              </w:rPr>
              <w:t>Agriculture</w:t>
            </w:r>
          </w:p>
        </w:tc>
        <w:tc>
          <w:tcPr>
            <w:tcW w:type="dxa" w:w="1234"/>
            <w:shd w:val="clear" w:color="auto" w:fill="7F7F7F"/>
          </w:tcPr>
          <w:p>
            <w:r>
              <w:rPr>
                <w:rFonts w:ascii="Calibri" w:hAnsi="Calibri"/>
                <w:b/>
                <w:color w:val="FFFFFF"/>
                <w:sz w:val="24"/>
              </w:rPr>
              <w:t>Education</w:t>
            </w:r>
          </w:p>
        </w:tc>
      </w:tr>
      <w:tr>
        <w:tc>
          <w:tcPr>
            <w:tcW w:type="dxa" w:w="1234"/>
          </w:tcPr>
          <w:p>
            <w:r>
              <w:rPr>
                <w:rFonts w:ascii="Calibri" w:hAnsi="Calibri"/>
                <w:sz w:val="24"/>
              </w:rPr>
              <w:t>Finance</w:t>
            </w:r>
          </w:p>
        </w:tc>
        <w:tc>
          <w:tcPr>
            <w:tcW w:type="dxa" w:w="1234"/>
          </w:tcPr>
          <w:p>
            <w:r>
              <w:rPr>
                <w:rFonts w:ascii="Calibri" w:hAnsi="Calibri"/>
                <w:sz w:val="24"/>
              </w:rPr>
              <w:t>Construction</w:t>
            </w:r>
          </w:p>
        </w:tc>
        <w:tc>
          <w:tcPr>
            <w:tcW w:type="dxa" w:w="1234"/>
          </w:tcPr>
          <w:p>
            <w:r>
              <w:rPr>
                <w:rFonts w:ascii="Calibri" w:hAnsi="Calibri"/>
                <w:sz w:val="24"/>
              </w:rPr>
              <w:t>Security studies</w:t>
            </w:r>
          </w:p>
        </w:tc>
        <w:tc>
          <w:tcPr>
            <w:tcW w:type="dxa" w:w="1234"/>
          </w:tcPr>
          <w:p>
            <w:r>
              <w:rPr>
                <w:rFonts w:ascii="Calibri" w:hAnsi="Calibri"/>
                <w:sz w:val="24"/>
              </w:rPr>
              <w:t>Entrepreneurship</w:t>
            </w:r>
          </w:p>
        </w:tc>
        <w:tc>
          <w:tcPr>
            <w:tcW w:type="dxa" w:w="1234"/>
          </w:tcPr>
          <w:p>
            <w:r>
              <w:rPr>
                <w:rFonts w:ascii="Calibri" w:hAnsi="Calibri"/>
                <w:sz w:val="24"/>
              </w:rPr>
              <w:t>Science</w:t>
            </w:r>
          </w:p>
        </w:tc>
        <w:tc>
          <w:tcPr>
            <w:tcW w:type="dxa" w:w="1234"/>
          </w:tcPr>
          <w:p>
            <w:r>
              <w:rPr>
                <w:rFonts w:ascii="Calibri" w:hAnsi="Calibri"/>
                <w:sz w:val="24"/>
              </w:rPr>
              <w:t>Public administration</w:t>
            </w:r>
          </w:p>
        </w:tc>
        <w:tc>
          <w:tcPr>
            <w:tcW w:type="dxa" w:w="1234"/>
          </w:tcPr>
          <w:p>
            <w:r>
              <w:rPr>
                <w:rFonts w:ascii="Calibri" w:hAnsi="Calibri"/>
                <w:sz w:val="24"/>
              </w:rPr>
            </w:r>
          </w:p>
        </w:tc>
      </w:tr>
    </w:tbl>
    <w:p/>
    <w:p>
      <w:r>
        <w:rPr>
          <w:rFonts w:ascii="Calibri" w:hAnsi="Calibri"/>
          <w:b w:val="0"/>
          <w:i/>
          <w:sz w:val="24"/>
        </w:rPr>
        <w:t>The register will enable KDF to know what human resources it already possesses before seeking external assistance.</w:t>
      </w:r>
    </w:p>
    <w:p>
      <w:pPr>
        <w:pStyle w:val="Heading1"/>
      </w:pPr>
      <w:r>
        <w:rPr>
          <w:rFonts w:ascii="Calibri" w:hAnsi="Calibri"/>
          <w:color w:val="1F4E79"/>
          <w:sz w:val="24"/>
        </w:rPr>
        <w:t>18. First-Year Priorities</w:t>
      </w:r>
    </w:p>
    <w:p>
      <w:r>
        <w:rPr>
          <w:rFonts w:ascii="Calibri" w:hAnsi="Calibri"/>
          <w:b w:val="0"/>
          <w:i w:val="0"/>
          <w:sz w:val="24"/>
        </w:rPr>
        <w:t>The first year should not attempt to solve everything. KDF should concentrate on five deliverables:</w:t>
      </w:r>
    </w:p>
    <w:tbl>
      <w:tblPr>
        <w:tblStyle w:val="TableGrid"/>
        <w:tblW w:type="auto" w:w="0"/>
        <w:jc w:val="center"/>
        <w:tblLook w:firstColumn="1" w:firstRow="1" w:lastColumn="0" w:lastRow="0" w:noHBand="0" w:noVBand="1" w:val="04A0"/>
      </w:tblPr>
      <w:tblGrid>
        <w:gridCol w:w="2880"/>
        <w:gridCol w:w="2880"/>
        <w:gridCol w:w="2880"/>
      </w:tblGrid>
      <w:tr>
        <w:tc>
          <w:tcPr>
            <w:tcW w:type="dxa" w:w="720"/>
            <w:shd w:val="clear" w:color="auto" w:fill="1F4E79"/>
          </w:tcPr>
          <w:p>
            <w:r>
              <w:rPr>
                <w:rFonts w:ascii="Calibri" w:hAnsi="Calibri"/>
                <w:b/>
                <w:color w:val="FFFFFF"/>
                <w:sz w:val="24"/>
              </w:rPr>
              <w:t>#</w:t>
            </w:r>
          </w:p>
        </w:tc>
        <w:tc>
          <w:tcPr>
            <w:tcW w:type="dxa" w:w="2880"/>
            <w:shd w:val="clear" w:color="auto" w:fill="1F4E79"/>
          </w:tcPr>
          <w:p>
            <w:r>
              <w:rPr>
                <w:rFonts w:ascii="Calibri" w:hAnsi="Calibri"/>
                <w:b/>
                <w:color w:val="FFFFFF"/>
                <w:sz w:val="24"/>
              </w:rPr>
              <w:t>Priority</w:t>
            </w:r>
          </w:p>
        </w:tc>
        <w:tc>
          <w:tcPr>
            <w:tcW w:type="dxa" w:w="6480"/>
            <w:shd w:val="clear" w:color="auto" w:fill="1F4E79"/>
          </w:tcPr>
          <w:p>
            <w:r>
              <w:rPr>
                <w:rFonts w:ascii="Calibri" w:hAnsi="Calibri"/>
                <w:b/>
                <w:color w:val="FFFFFF"/>
                <w:sz w:val="24"/>
              </w:rPr>
              <w:t>Deliverable</w:t>
            </w:r>
          </w:p>
        </w:tc>
      </w:tr>
      <w:tr>
        <w:tc>
          <w:tcPr>
            <w:tcW w:type="dxa" w:w="720"/>
          </w:tcPr>
          <w:p>
            <w:r>
              <w:rPr>
                <w:rFonts w:ascii="Calibri" w:hAnsi="Calibri"/>
                <w:sz w:val="24"/>
              </w:rPr>
              <w:t>1</w:t>
            </w:r>
          </w:p>
        </w:tc>
        <w:tc>
          <w:tcPr>
            <w:tcW w:type="dxa" w:w="2880"/>
          </w:tcPr>
          <w:p>
            <w:r>
              <w:rPr>
                <w:rFonts w:ascii="Calibri" w:hAnsi="Calibri"/>
                <w:sz w:val="24"/>
              </w:rPr>
              <w:t>Unity</w:t>
            </w:r>
          </w:p>
        </w:tc>
        <w:tc>
          <w:tcPr>
            <w:tcW w:type="dxa" w:w="6480"/>
          </w:tcPr>
          <w:p>
            <w:r>
              <w:rPr>
                <w:rFonts w:ascii="Calibri" w:hAnsi="Calibri"/>
                <w:sz w:val="24"/>
              </w:rPr>
              <w:t>Create a functioning national network linking participating communities.</w:t>
            </w:r>
          </w:p>
        </w:tc>
      </w:tr>
      <w:tr>
        <w:tc>
          <w:tcPr>
            <w:tcW w:type="dxa" w:w="720"/>
          </w:tcPr>
          <w:p>
            <w:r>
              <w:rPr>
                <w:rFonts w:ascii="Calibri" w:hAnsi="Calibri"/>
                <w:sz w:val="24"/>
              </w:rPr>
              <w:t>2</w:t>
            </w:r>
          </w:p>
        </w:tc>
        <w:tc>
          <w:tcPr>
            <w:tcW w:type="dxa" w:w="2880"/>
          </w:tcPr>
          <w:p>
            <w:r>
              <w:rPr>
                <w:rFonts w:ascii="Calibri" w:hAnsi="Calibri"/>
                <w:sz w:val="24"/>
              </w:rPr>
              <w:t>Human Capital</w:t>
            </w:r>
          </w:p>
        </w:tc>
        <w:tc>
          <w:tcPr>
            <w:tcW w:type="dxa" w:w="6480"/>
          </w:tcPr>
          <w:p>
            <w:r>
              <w:rPr>
                <w:rFonts w:ascii="Calibri" w:hAnsi="Calibri"/>
                <w:sz w:val="24"/>
              </w:rPr>
              <w:t>Establish scholarships, mentorship and skills-development programmes.</w:t>
            </w:r>
          </w:p>
        </w:tc>
      </w:tr>
      <w:tr>
        <w:tc>
          <w:tcPr>
            <w:tcW w:type="dxa" w:w="720"/>
          </w:tcPr>
          <w:p>
            <w:r>
              <w:rPr>
                <w:rFonts w:ascii="Calibri" w:hAnsi="Calibri"/>
                <w:sz w:val="24"/>
              </w:rPr>
              <w:t>3</w:t>
            </w:r>
          </w:p>
        </w:tc>
        <w:tc>
          <w:tcPr>
            <w:tcW w:type="dxa" w:w="2880"/>
          </w:tcPr>
          <w:p>
            <w:r>
              <w:rPr>
                <w:rFonts w:ascii="Calibri" w:hAnsi="Calibri"/>
                <w:sz w:val="24"/>
              </w:rPr>
              <w:t>Economic Empowerment</w:t>
            </w:r>
          </w:p>
        </w:tc>
        <w:tc>
          <w:tcPr>
            <w:tcW w:type="dxa" w:w="6480"/>
          </w:tcPr>
          <w:p>
            <w:r>
              <w:rPr>
                <w:rFonts w:ascii="Calibri" w:hAnsi="Calibri"/>
                <w:sz w:val="24"/>
              </w:rPr>
              <w:t>Create the Kwararafa Investment and Economic Network.</w:t>
            </w:r>
          </w:p>
        </w:tc>
      </w:tr>
      <w:tr>
        <w:tc>
          <w:tcPr>
            <w:tcW w:type="dxa" w:w="720"/>
          </w:tcPr>
          <w:p>
            <w:r>
              <w:rPr>
                <w:rFonts w:ascii="Calibri" w:hAnsi="Calibri"/>
                <w:sz w:val="24"/>
              </w:rPr>
              <w:t>4</w:t>
            </w:r>
          </w:p>
        </w:tc>
        <w:tc>
          <w:tcPr>
            <w:tcW w:type="dxa" w:w="2880"/>
          </w:tcPr>
          <w:p>
            <w:r>
              <w:rPr>
                <w:rFonts w:ascii="Calibri" w:hAnsi="Calibri"/>
                <w:sz w:val="24"/>
              </w:rPr>
              <w:t>Cultural Preservation</w:t>
            </w:r>
          </w:p>
        </w:tc>
        <w:tc>
          <w:tcPr>
            <w:tcW w:type="dxa" w:w="6480"/>
          </w:tcPr>
          <w:p>
            <w:r>
              <w:rPr>
                <w:rFonts w:ascii="Calibri" w:hAnsi="Calibri"/>
                <w:sz w:val="24"/>
              </w:rPr>
              <w:t>Begin systematic documentation of Kwararafa history and cultural heritage.</w:t>
            </w:r>
          </w:p>
        </w:tc>
      </w:tr>
      <w:tr>
        <w:tc>
          <w:tcPr>
            <w:tcW w:type="dxa" w:w="720"/>
          </w:tcPr>
          <w:p>
            <w:r>
              <w:rPr>
                <w:rFonts w:ascii="Calibri" w:hAnsi="Calibri"/>
                <w:sz w:val="24"/>
              </w:rPr>
              <w:t>5</w:t>
            </w:r>
          </w:p>
        </w:tc>
        <w:tc>
          <w:tcPr>
            <w:tcW w:type="dxa" w:w="2880"/>
          </w:tcPr>
          <w:p>
            <w:r>
              <w:rPr>
                <w:rFonts w:ascii="Calibri" w:hAnsi="Calibri"/>
                <w:sz w:val="24"/>
              </w:rPr>
              <w:t>Development Projects</w:t>
            </w:r>
          </w:p>
        </w:tc>
        <w:tc>
          <w:tcPr>
            <w:tcW w:type="dxa" w:w="6480"/>
          </w:tcPr>
          <w:p>
            <w:r>
              <w:rPr>
                <w:rFonts w:ascii="Calibri" w:hAnsi="Calibri"/>
                <w:sz w:val="24"/>
              </w:rPr>
              <w:t>Select a small number of highly visible, achievable community projects.</w:t>
            </w:r>
          </w:p>
        </w:tc>
      </w:tr>
    </w:tbl>
    <w:p/>
    <w:p>
      <w:pPr>
        <w:pStyle w:val="Heading1"/>
      </w:pPr>
      <w:r>
        <w:rPr>
          <w:rFonts w:ascii="Calibri" w:hAnsi="Calibri"/>
          <w:color w:val="1F4E79"/>
          <w:sz w:val="24"/>
        </w:rPr>
        <w:t>19. First 100 Days</w:t>
      </w:r>
    </w:p>
    <w:p>
      <w:r>
        <w:rPr>
          <w:rFonts w:ascii="Calibri" w:hAnsi="Calibri"/>
          <w:b w:val="0"/>
          <w:i w:val="0"/>
          <w:sz w:val="24"/>
        </w:rPr>
        <w:t>The following should constitute the immediate take-off programme.</w:t>
      </w:r>
    </w:p>
    <w:tbl>
      <w:tblPr>
        <w:tblStyle w:val="TableGrid"/>
        <w:tblW w:type="auto" w:w="0"/>
        <w:jc w:val="center"/>
        <w:tblLook w:firstColumn="1" w:firstRow="1" w:lastColumn="0" w:lastRow="0" w:noHBand="0" w:noVBand="1" w:val="04A0"/>
      </w:tblPr>
      <w:tblGrid>
        <w:gridCol w:w="4320"/>
        <w:gridCol w:w="4320"/>
      </w:tblGrid>
      <w:tr>
        <w:tc>
          <w:tcPr>
            <w:tcW w:type="dxa" w:w="1872"/>
            <w:shd w:val="clear" w:color="auto" w:fill="1F4E79"/>
          </w:tcPr>
          <w:p>
            <w:r>
              <w:rPr>
                <w:rFonts w:ascii="Calibri" w:hAnsi="Calibri"/>
                <w:b/>
                <w:color w:val="FFFFFF"/>
                <w:sz w:val="24"/>
              </w:rPr>
              <w:t>Phase</w:t>
            </w:r>
          </w:p>
        </w:tc>
        <w:tc>
          <w:tcPr>
            <w:tcW w:type="dxa" w:w="8208"/>
            <w:shd w:val="clear" w:color="auto" w:fill="1F4E79"/>
          </w:tcPr>
          <w:p>
            <w:r>
              <w:rPr>
                <w:rFonts w:ascii="Calibri" w:hAnsi="Calibri"/>
                <w:b/>
                <w:color w:val="FFFFFF"/>
                <w:sz w:val="24"/>
              </w:rPr>
              <w:t>Key Actions</w:t>
            </w:r>
          </w:p>
        </w:tc>
      </w:tr>
      <w:tr>
        <w:tc>
          <w:tcPr>
            <w:tcW w:type="dxa" w:w="1872"/>
          </w:tcPr>
          <w:p>
            <w:r>
              <w:rPr>
                <w:rFonts w:ascii="Calibri" w:hAnsi="Calibri"/>
                <w:sz w:val="24"/>
              </w:rPr>
              <w:t>Days 1-30</w:t>
            </w:r>
          </w:p>
        </w:tc>
        <w:tc>
          <w:tcPr>
            <w:tcW w:type="dxa" w:w="8208"/>
          </w:tcPr>
          <w:p>
            <w:r>
              <w:rPr>
                <w:rFonts w:ascii="Calibri" w:hAnsi="Calibri"/>
                <w:sz w:val="24"/>
              </w:rPr>
              <w:t>Constitute the inaugural Steering Committee; Define membership and participating communities; Prepare the draft constitution; Establish the interim secretariat; Identify founding members; Establish communication channels; Begin the professional database.</w:t>
            </w:r>
          </w:p>
        </w:tc>
      </w:tr>
      <w:tr>
        <w:tc>
          <w:tcPr>
            <w:tcW w:type="dxa" w:w="1872"/>
          </w:tcPr>
          <w:p>
            <w:r>
              <w:rPr>
                <w:rFonts w:ascii="Calibri" w:hAnsi="Calibri"/>
                <w:sz w:val="24"/>
              </w:rPr>
              <w:t>Days 31-60</w:t>
            </w:r>
          </w:p>
        </w:tc>
        <w:tc>
          <w:tcPr>
            <w:tcW w:type="dxa" w:w="8208"/>
          </w:tcPr>
          <w:p>
            <w:r>
              <w:rPr>
                <w:rFonts w:ascii="Calibri" w:hAnsi="Calibri"/>
                <w:sz w:val="24"/>
              </w:rPr>
              <w:t>Establish state/regional contact points; Convene consultations with traditional and community stakeholders; Finalise the constitutional framework; Establish thematic directorates; Develop the first-year strategic plan; Begin registration processes where appropriate.</w:t>
            </w:r>
          </w:p>
        </w:tc>
      </w:tr>
      <w:tr>
        <w:tc>
          <w:tcPr>
            <w:tcW w:type="dxa" w:w="1872"/>
          </w:tcPr>
          <w:p>
            <w:r>
              <w:rPr>
                <w:rFonts w:ascii="Calibri" w:hAnsi="Calibri"/>
                <w:sz w:val="24"/>
              </w:rPr>
              <w:t>Days 61-100</w:t>
            </w:r>
          </w:p>
        </w:tc>
        <w:tc>
          <w:tcPr>
            <w:tcW w:type="dxa" w:w="8208"/>
          </w:tcPr>
          <w:p>
            <w:r>
              <w:rPr>
                <w:rFonts w:ascii="Calibri" w:hAnsi="Calibri"/>
                <w:sz w:val="24"/>
              </w:rPr>
              <w:t>Hold the inaugural KDF conference; Adopt the constitution; Confirm/elect substantive leadership according to the adopted rules; Launch the KDF Professional Register; Launch the Kwararafa Development Fund; Approve the first five development projects; Publish the KDF 100-Day Communique and Development Agenda.</w:t>
            </w:r>
          </w:p>
        </w:tc>
      </w:tr>
    </w:tbl>
    <w:p/>
    <w:p>
      <w:pPr>
        <w:pStyle w:val="Heading1"/>
      </w:pPr>
      <w:r>
        <w:rPr>
          <w:rFonts w:ascii="Calibri" w:hAnsi="Calibri"/>
          <w:color w:val="1F4E79"/>
          <w:sz w:val="24"/>
        </w:rPr>
        <w:t>20. Three-Year Strategic Target</w:t>
      </w:r>
    </w:p>
    <w:p>
      <w:r>
        <w:rPr>
          <w:rFonts w:ascii="Calibri" w:hAnsi="Calibri"/>
          <w:b w:val="0"/>
          <w:i w:val="0"/>
          <w:sz w:val="24"/>
        </w:rPr>
        <w:t>By the end of three years, KDF should aim to have achieved the following across six pillars: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F4E79"/>
          </w:tcPr>
          <w:p>
            <w:r>
              <w:rPr>
                <w:rFonts w:ascii="Calibri" w:hAnsi="Calibri"/>
                <w:b/>
                <w:color w:val="FFFFFF"/>
                <w:sz w:val="24"/>
              </w:rPr>
              <w:t>Pillar</w:t>
            </w:r>
          </w:p>
        </w:tc>
        <w:tc>
          <w:tcPr>
            <w:tcW w:type="dxa" w:w="7776"/>
            <w:shd w:val="clear" w:color="auto" w:fill="1F4E79"/>
          </w:tcPr>
          <w:p>
            <w:r>
              <w:rPr>
                <w:rFonts w:ascii="Calibri" w:hAnsi="Calibri"/>
                <w:b/>
                <w:color w:val="FFFFFF"/>
                <w:sz w:val="24"/>
              </w:rPr>
              <w:t>Targets</w:t>
            </w:r>
          </w:p>
        </w:tc>
      </w:tr>
      <w:tr>
        <w:tc>
          <w:tcPr>
            <w:tcW w:type="dxa" w:w="2304"/>
          </w:tcPr>
          <w:p>
            <w:r>
              <w:rPr>
                <w:rFonts w:ascii="Calibri" w:hAnsi="Calibri"/>
                <w:sz w:val="24"/>
              </w:rPr>
              <w:t>A. Organisation</w:t>
            </w:r>
          </w:p>
        </w:tc>
        <w:tc>
          <w:tcPr>
            <w:tcW w:type="dxa" w:w="7776"/>
          </w:tcPr>
          <w:p>
            <w:r>
              <w:rPr>
                <w:rFonts w:ascii="Calibri" w:hAnsi="Calibri"/>
                <w:sz w:val="24"/>
              </w:rPr>
              <w:t>Functional national secretariat; Recognised state/community structures; Transparent membership register.</w:t>
            </w:r>
          </w:p>
        </w:tc>
      </w:tr>
      <w:tr>
        <w:tc>
          <w:tcPr>
            <w:tcW w:type="dxa" w:w="2304"/>
          </w:tcPr>
          <w:p>
            <w:r>
              <w:rPr>
                <w:rFonts w:ascii="Calibri" w:hAnsi="Calibri"/>
                <w:sz w:val="24"/>
              </w:rPr>
              <w:t>B. Human Capital</w:t>
            </w:r>
          </w:p>
        </w:tc>
        <w:tc>
          <w:tcPr>
            <w:tcW w:type="dxa" w:w="7776"/>
          </w:tcPr>
          <w:p>
            <w:r>
              <w:rPr>
                <w:rFonts w:ascii="Calibri" w:hAnsi="Calibri"/>
                <w:sz w:val="24"/>
              </w:rPr>
              <w:t>Scholarship programme; Professional network; Youth skills programme.</w:t>
            </w:r>
          </w:p>
        </w:tc>
      </w:tr>
      <w:tr>
        <w:tc>
          <w:tcPr>
            <w:tcW w:type="dxa" w:w="2304"/>
          </w:tcPr>
          <w:p>
            <w:r>
              <w:rPr>
                <w:rFonts w:ascii="Calibri" w:hAnsi="Calibri"/>
                <w:sz w:val="24"/>
              </w:rPr>
              <w:t>C. Economy</w:t>
            </w:r>
          </w:p>
        </w:tc>
        <w:tc>
          <w:tcPr>
            <w:tcW w:type="dxa" w:w="7776"/>
          </w:tcPr>
          <w:p>
            <w:r>
              <w:rPr>
                <w:rFonts w:ascii="Calibri" w:hAnsi="Calibri"/>
                <w:sz w:val="24"/>
              </w:rPr>
              <w:t>Investment summit; Business network; Agricultural initiatives; Development fund.</w:t>
            </w:r>
          </w:p>
        </w:tc>
      </w:tr>
      <w:tr>
        <w:tc>
          <w:tcPr>
            <w:tcW w:type="dxa" w:w="2304"/>
          </w:tcPr>
          <w:p>
            <w:r>
              <w:rPr>
                <w:rFonts w:ascii="Calibri" w:hAnsi="Calibri"/>
                <w:sz w:val="24"/>
              </w:rPr>
              <w:t>D. Culture</w:t>
            </w:r>
          </w:p>
        </w:tc>
        <w:tc>
          <w:tcPr>
            <w:tcW w:type="dxa" w:w="7776"/>
          </w:tcPr>
          <w:p>
            <w:r>
              <w:rPr>
                <w:rFonts w:ascii="Calibri" w:hAnsi="Calibri"/>
                <w:sz w:val="24"/>
              </w:rPr>
              <w:t>Historical archive; Cultural documentation; Annual cultural forum.</w:t>
            </w:r>
          </w:p>
        </w:tc>
      </w:tr>
      <w:tr>
        <w:tc>
          <w:tcPr>
            <w:tcW w:type="dxa" w:w="2304"/>
          </w:tcPr>
          <w:p>
            <w:r>
              <w:rPr>
                <w:rFonts w:ascii="Calibri" w:hAnsi="Calibri"/>
                <w:sz w:val="24"/>
              </w:rPr>
              <w:t>E. Development</w:t>
            </w:r>
          </w:p>
        </w:tc>
        <w:tc>
          <w:tcPr>
            <w:tcW w:type="dxa" w:w="7776"/>
          </w:tcPr>
          <w:p>
            <w:r>
              <w:rPr>
                <w:rFonts w:ascii="Calibri" w:hAnsi="Calibri"/>
                <w:sz w:val="24"/>
              </w:rPr>
              <w:t>Completed community projects; Infrastructure priority database; Partnerships with government and development organisations.</w:t>
            </w:r>
          </w:p>
        </w:tc>
      </w:tr>
      <w:tr>
        <w:tc>
          <w:tcPr>
            <w:tcW w:type="dxa" w:w="2304"/>
          </w:tcPr>
          <w:p>
            <w:r>
              <w:rPr>
                <w:rFonts w:ascii="Calibri" w:hAnsi="Calibri"/>
                <w:sz w:val="24"/>
              </w:rPr>
              <w:t>F. Research</w:t>
            </w:r>
          </w:p>
        </w:tc>
        <w:tc>
          <w:tcPr>
            <w:tcW w:type="dxa" w:w="7776"/>
          </w:tcPr>
          <w:p>
            <w:r>
              <w:rPr>
                <w:rFonts w:ascii="Calibri" w:hAnsi="Calibri"/>
                <w:sz w:val="24"/>
              </w:rPr>
              <w:t>Kwararafa Development Report; Research institute/network; Evidence-based development proposals.</w:t>
            </w:r>
          </w:p>
        </w:tc>
      </w:tr>
    </w:tbl>
    <w:p/>
    <w:p>
      <w:pPr>
        <w:pStyle w:val="Heading1"/>
      </w:pPr>
      <w:r>
        <w:rPr>
          <w:rFonts w:ascii="Calibri" w:hAnsi="Calibri"/>
          <w:color w:val="1F4E79"/>
          <w:sz w:val="24"/>
        </w:rPr>
        <w:t>21. Accountability Framework</w:t>
      </w:r>
    </w:p>
    <w:p>
      <w:r>
        <w:rPr>
          <w:rFonts w:ascii="Calibri" w:hAnsi="Calibri"/>
          <w:b w:val="0"/>
          <w:i w:val="0"/>
          <w:sz w:val="24"/>
        </w:rPr>
        <w:t>Every level of KDF should submit periodic reports:</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1F4E79"/>
          </w:tcPr>
          <w:p>
            <w:r>
              <w:rPr>
                <w:rFonts w:ascii="Calibri" w:hAnsi="Calibri"/>
                <w:b/>
                <w:color w:val="FFFFFF"/>
                <w:sz w:val="24"/>
              </w:rPr>
              <w:t>Level</w:t>
            </w:r>
          </w:p>
        </w:tc>
        <w:tc>
          <w:tcPr>
            <w:tcW w:type="dxa" w:w="7200"/>
            <w:shd w:val="clear" w:color="auto" w:fill="1F4E79"/>
          </w:tcPr>
          <w:p>
            <w:r>
              <w:rPr>
                <w:rFonts w:ascii="Calibri" w:hAnsi="Calibri"/>
                <w:b/>
                <w:color w:val="FFFFFF"/>
                <w:sz w:val="24"/>
              </w:rPr>
              <w:t>Reporting Frequency</w:t>
            </w:r>
          </w:p>
        </w:tc>
      </w:tr>
      <w:tr>
        <w:tc>
          <w:tcPr>
            <w:tcW w:type="dxa" w:w="2880"/>
          </w:tcPr>
          <w:p>
            <w:r>
              <w:rPr>
                <w:rFonts w:ascii="Calibri" w:hAnsi="Calibri"/>
                <w:sz w:val="24"/>
              </w:rPr>
              <w:t>Community</w:t>
            </w:r>
          </w:p>
        </w:tc>
        <w:tc>
          <w:tcPr>
            <w:tcW w:type="dxa" w:w="7200"/>
          </w:tcPr>
          <w:p>
            <w:r>
              <w:rPr>
                <w:rFonts w:ascii="Calibri" w:hAnsi="Calibri"/>
                <w:sz w:val="24"/>
              </w:rPr>
              <w:t>Monthly/quarterly activity report</w:t>
            </w:r>
          </w:p>
        </w:tc>
      </w:tr>
      <w:tr>
        <w:tc>
          <w:tcPr>
            <w:tcW w:type="dxa" w:w="2880"/>
          </w:tcPr>
          <w:p>
            <w:r>
              <w:rPr>
                <w:rFonts w:ascii="Calibri" w:hAnsi="Calibri"/>
                <w:sz w:val="24"/>
              </w:rPr>
              <w:t>State</w:t>
            </w:r>
          </w:p>
        </w:tc>
        <w:tc>
          <w:tcPr>
            <w:tcW w:type="dxa" w:w="7200"/>
          </w:tcPr>
          <w:p>
            <w:r>
              <w:rPr>
                <w:rFonts w:ascii="Calibri" w:hAnsi="Calibri"/>
                <w:sz w:val="24"/>
              </w:rPr>
              <w:t>Quarterly report</w:t>
            </w:r>
          </w:p>
        </w:tc>
      </w:tr>
      <w:tr>
        <w:tc>
          <w:tcPr>
            <w:tcW w:type="dxa" w:w="2880"/>
          </w:tcPr>
          <w:p>
            <w:r>
              <w:rPr>
                <w:rFonts w:ascii="Calibri" w:hAnsi="Calibri"/>
                <w:sz w:val="24"/>
              </w:rPr>
              <w:t>Regional</w:t>
            </w:r>
          </w:p>
        </w:tc>
        <w:tc>
          <w:tcPr>
            <w:tcW w:type="dxa" w:w="7200"/>
          </w:tcPr>
          <w:p>
            <w:r>
              <w:rPr>
                <w:rFonts w:ascii="Calibri" w:hAnsi="Calibri"/>
                <w:sz w:val="24"/>
              </w:rPr>
              <w:t>Quarterly consolidated report</w:t>
            </w:r>
          </w:p>
        </w:tc>
      </w:tr>
      <w:tr>
        <w:tc>
          <w:tcPr>
            <w:tcW w:type="dxa" w:w="2880"/>
          </w:tcPr>
          <w:p>
            <w:r>
              <w:rPr>
                <w:rFonts w:ascii="Calibri" w:hAnsi="Calibri"/>
                <w:sz w:val="24"/>
              </w:rPr>
              <w:t>National</w:t>
            </w:r>
          </w:p>
        </w:tc>
        <w:tc>
          <w:tcPr>
            <w:tcW w:type="dxa" w:w="7200"/>
          </w:tcPr>
          <w:p>
            <w:r>
              <w:rPr>
                <w:rFonts w:ascii="Calibri" w:hAnsi="Calibri"/>
                <w:sz w:val="24"/>
              </w:rPr>
              <w:t>Annual performance report</w:t>
            </w:r>
          </w:p>
        </w:tc>
      </w:tr>
    </w:tbl>
    <w:p/>
    <w:p>
      <w:r>
        <w:rPr>
          <w:rFonts w:ascii="Calibri" w:hAnsi="Calibri"/>
          <w:b w:val="0"/>
          <w:i w:val="0"/>
          <w:sz w:val="24"/>
        </w:rPr>
        <w:t>The President should present an "Annual State of Kwararafa Development Address" covering:</w:t>
      </w:r>
    </w:p>
    <w:p>
      <w:pPr>
        <w:pStyle w:val="ListBullet"/>
      </w:pPr>
      <w:r>
        <w:rPr>
          <w:rFonts w:ascii="Calibri" w:hAnsi="Calibri"/>
          <w:sz w:val="24"/>
        </w:rPr>
        <w:t>Achievements</w:t>
      </w:r>
    </w:p>
    <w:p>
      <w:pPr>
        <w:pStyle w:val="ListBullet"/>
      </w:pPr>
      <w:r>
        <w:rPr>
          <w:rFonts w:ascii="Calibri" w:hAnsi="Calibri"/>
          <w:sz w:val="24"/>
        </w:rPr>
        <w:t>Challenges</w:t>
      </w:r>
    </w:p>
    <w:p>
      <w:pPr>
        <w:pStyle w:val="ListBullet"/>
      </w:pPr>
      <w:r>
        <w:rPr>
          <w:rFonts w:ascii="Calibri" w:hAnsi="Calibri"/>
          <w:sz w:val="24"/>
        </w:rPr>
        <w:t>Finances</w:t>
      </w:r>
    </w:p>
    <w:p>
      <w:pPr>
        <w:pStyle w:val="ListBullet"/>
      </w:pPr>
      <w:r>
        <w:rPr>
          <w:rFonts w:ascii="Calibri" w:hAnsi="Calibri"/>
          <w:sz w:val="24"/>
        </w:rPr>
        <w:t>Projects</w:t>
      </w:r>
    </w:p>
    <w:p>
      <w:pPr>
        <w:pStyle w:val="ListBullet"/>
      </w:pPr>
      <w:r>
        <w:rPr>
          <w:rFonts w:ascii="Calibri" w:hAnsi="Calibri"/>
          <w:sz w:val="24"/>
        </w:rPr>
        <w:t>Membership</w:t>
      </w:r>
    </w:p>
    <w:p>
      <w:pPr>
        <w:pStyle w:val="ListBullet"/>
      </w:pPr>
      <w:r>
        <w:rPr>
          <w:rFonts w:ascii="Calibri" w:hAnsi="Calibri"/>
          <w:sz w:val="24"/>
        </w:rPr>
        <w:t>Human capital</w:t>
      </w:r>
    </w:p>
    <w:p>
      <w:pPr>
        <w:pStyle w:val="ListBullet"/>
      </w:pPr>
      <w:r>
        <w:rPr>
          <w:rFonts w:ascii="Calibri" w:hAnsi="Calibri"/>
          <w:sz w:val="24"/>
        </w:rPr>
        <w:t>Partnerships</w:t>
      </w:r>
    </w:p>
    <w:p>
      <w:pPr>
        <w:pStyle w:val="ListBullet"/>
      </w:pPr>
      <w:r>
        <w:rPr>
          <w:rFonts w:ascii="Calibri" w:hAnsi="Calibri"/>
          <w:sz w:val="24"/>
        </w:rPr>
        <w:t>Next-year priorities</w:t>
      </w:r>
    </w:p>
    <w:p>
      <w:pPr>
        <w:pStyle w:val="Heading1"/>
      </w:pPr>
      <w:r>
        <w:rPr>
          <w:rFonts w:ascii="Calibri" w:hAnsi="Calibri"/>
          <w:color w:val="1F4E79"/>
          <w:sz w:val="24"/>
        </w:rPr>
        <w:t>22. Inaugural Implementation Committee</w:t>
      </w:r>
    </w:p>
    <w:p>
      <w:r>
        <w:rPr>
          <w:rFonts w:ascii="Calibri" w:hAnsi="Calibri"/>
          <w:b w:val="0"/>
          <w:i w:val="0"/>
          <w:sz w:val="24"/>
        </w:rPr>
        <w:t>Pending the formal establishment of all constitutional organs, the President may establish an Inaugural Steering Committee of approximately 15-21 persons.</w:t>
      </w:r>
    </w:p>
    <w:p>
      <w:pPr>
        <w:pStyle w:val="Heading2"/>
      </w:pPr>
      <w:r>
        <w:rPr>
          <w:rFonts w:ascii="Calibri" w:hAnsi="Calibri"/>
          <w:color w:val="1F4E79"/>
          <w:sz w:val="24"/>
        </w:rPr>
        <w:t>Suggested Portfolios</w:t>
      </w:r>
    </w:p>
    <w:tbl>
      <w:tblPr>
        <w:tblStyle w:val="TableGrid"/>
        <w:tblW w:type="auto" w:w="0"/>
        <w:jc w:val="center"/>
        <w:tblLook w:firstColumn="1" w:firstRow="1" w:lastColumn="0" w:lastRow="0" w:noHBand="0" w:noVBand="1" w:val="04A0"/>
      </w:tblPr>
      <w:tblGrid>
        <w:gridCol w:w="4320"/>
        <w:gridCol w:w="4320"/>
      </w:tblGrid>
      <w:tr>
        <w:tc>
          <w:tcPr>
            <w:tcW w:type="dxa" w:w="864"/>
            <w:shd w:val="clear" w:color="auto" w:fill="1F4E79"/>
          </w:tcPr>
          <w:p>
            <w:r>
              <w:rPr>
                <w:rFonts w:ascii="Calibri" w:hAnsi="Calibri"/>
                <w:b/>
                <w:color w:val="FFFFFF"/>
                <w:sz w:val="24"/>
              </w:rPr>
              <w:t>#</w:t>
            </w:r>
          </w:p>
        </w:tc>
        <w:tc>
          <w:tcPr>
            <w:tcW w:type="dxa" w:w="8928"/>
            <w:shd w:val="clear" w:color="auto" w:fill="1F4E79"/>
          </w:tcPr>
          <w:p>
            <w:r>
              <w:rPr>
                <w:rFonts w:ascii="Calibri" w:hAnsi="Calibri"/>
                <w:b/>
                <w:color w:val="FFFFFF"/>
                <w:sz w:val="24"/>
              </w:rPr>
              <w:t>Portfolio</w:t>
            </w:r>
          </w:p>
        </w:tc>
      </w:tr>
      <w:tr>
        <w:tc>
          <w:tcPr>
            <w:tcW w:type="dxa" w:w="864"/>
          </w:tcPr>
          <w:p>
            <w:r>
              <w:rPr>
                <w:rFonts w:ascii="Calibri" w:hAnsi="Calibri"/>
                <w:sz w:val="24"/>
              </w:rPr>
              <w:t>1</w:t>
            </w:r>
          </w:p>
        </w:tc>
        <w:tc>
          <w:tcPr>
            <w:tcW w:type="dxa" w:w="8928"/>
          </w:tcPr>
          <w:p>
            <w:r>
              <w:rPr>
                <w:rFonts w:ascii="Calibri" w:hAnsi="Calibri"/>
                <w:sz w:val="24"/>
              </w:rPr>
              <w:t>Chairman/President</w:t>
            </w:r>
          </w:p>
        </w:tc>
      </w:tr>
      <w:tr>
        <w:tc>
          <w:tcPr>
            <w:tcW w:type="dxa" w:w="864"/>
          </w:tcPr>
          <w:p>
            <w:r>
              <w:rPr>
                <w:rFonts w:ascii="Calibri" w:hAnsi="Calibri"/>
                <w:sz w:val="24"/>
              </w:rPr>
              <w:t>2</w:t>
            </w:r>
          </w:p>
        </w:tc>
        <w:tc>
          <w:tcPr>
            <w:tcW w:type="dxa" w:w="8928"/>
          </w:tcPr>
          <w:p>
            <w:r>
              <w:rPr>
                <w:rFonts w:ascii="Calibri" w:hAnsi="Calibri"/>
                <w:sz w:val="24"/>
              </w:rPr>
              <w:t>Deputy Chairman</w:t>
            </w:r>
          </w:p>
        </w:tc>
      </w:tr>
      <w:tr>
        <w:tc>
          <w:tcPr>
            <w:tcW w:type="dxa" w:w="864"/>
          </w:tcPr>
          <w:p>
            <w:r>
              <w:rPr>
                <w:rFonts w:ascii="Calibri" w:hAnsi="Calibri"/>
                <w:sz w:val="24"/>
              </w:rPr>
              <w:t>3</w:t>
            </w:r>
          </w:p>
        </w:tc>
        <w:tc>
          <w:tcPr>
            <w:tcW w:type="dxa" w:w="8928"/>
          </w:tcPr>
          <w:p>
            <w:r>
              <w:rPr>
                <w:rFonts w:ascii="Calibri" w:hAnsi="Calibri"/>
                <w:sz w:val="24"/>
              </w:rPr>
              <w:t>Secretary</w:t>
            </w:r>
          </w:p>
        </w:tc>
      </w:tr>
      <w:tr>
        <w:tc>
          <w:tcPr>
            <w:tcW w:type="dxa" w:w="864"/>
          </w:tcPr>
          <w:p>
            <w:r>
              <w:rPr>
                <w:rFonts w:ascii="Calibri" w:hAnsi="Calibri"/>
                <w:sz w:val="24"/>
              </w:rPr>
              <w:t>4</w:t>
            </w:r>
          </w:p>
        </w:tc>
        <w:tc>
          <w:tcPr>
            <w:tcW w:type="dxa" w:w="8928"/>
          </w:tcPr>
          <w:p>
            <w:r>
              <w:rPr>
                <w:rFonts w:ascii="Calibri" w:hAnsi="Calibri"/>
                <w:sz w:val="24"/>
              </w:rPr>
              <w:t>Legal/Constitution</w:t>
            </w:r>
          </w:p>
        </w:tc>
      </w:tr>
      <w:tr>
        <w:tc>
          <w:tcPr>
            <w:tcW w:type="dxa" w:w="864"/>
          </w:tcPr>
          <w:p>
            <w:r>
              <w:rPr>
                <w:rFonts w:ascii="Calibri" w:hAnsi="Calibri"/>
                <w:sz w:val="24"/>
              </w:rPr>
              <w:t>5</w:t>
            </w:r>
          </w:p>
        </w:tc>
        <w:tc>
          <w:tcPr>
            <w:tcW w:type="dxa" w:w="8928"/>
          </w:tcPr>
          <w:p>
            <w:r>
              <w:rPr>
                <w:rFonts w:ascii="Calibri" w:hAnsi="Calibri"/>
                <w:sz w:val="24"/>
              </w:rPr>
              <w:t>Finance</w:t>
            </w:r>
          </w:p>
        </w:tc>
      </w:tr>
      <w:tr>
        <w:tc>
          <w:tcPr>
            <w:tcW w:type="dxa" w:w="864"/>
          </w:tcPr>
          <w:p>
            <w:r>
              <w:rPr>
                <w:rFonts w:ascii="Calibri" w:hAnsi="Calibri"/>
                <w:sz w:val="24"/>
              </w:rPr>
              <w:t>6</w:t>
            </w:r>
          </w:p>
        </w:tc>
        <w:tc>
          <w:tcPr>
            <w:tcW w:type="dxa" w:w="8928"/>
          </w:tcPr>
          <w:p>
            <w:r>
              <w:rPr>
                <w:rFonts w:ascii="Calibri" w:hAnsi="Calibri"/>
                <w:sz w:val="24"/>
              </w:rPr>
              <w:t>Membership</w:t>
            </w:r>
          </w:p>
        </w:tc>
      </w:tr>
      <w:tr>
        <w:tc>
          <w:tcPr>
            <w:tcW w:type="dxa" w:w="864"/>
          </w:tcPr>
          <w:p>
            <w:r>
              <w:rPr>
                <w:rFonts w:ascii="Calibri" w:hAnsi="Calibri"/>
                <w:sz w:val="24"/>
              </w:rPr>
              <w:t>7</w:t>
            </w:r>
          </w:p>
        </w:tc>
        <w:tc>
          <w:tcPr>
            <w:tcW w:type="dxa" w:w="8928"/>
          </w:tcPr>
          <w:p>
            <w:r>
              <w:rPr>
                <w:rFonts w:ascii="Calibri" w:hAnsi="Calibri"/>
                <w:sz w:val="24"/>
              </w:rPr>
              <w:t>Traditional Institutions</w:t>
            </w:r>
          </w:p>
        </w:tc>
      </w:tr>
      <w:tr>
        <w:tc>
          <w:tcPr>
            <w:tcW w:type="dxa" w:w="864"/>
          </w:tcPr>
          <w:p>
            <w:r>
              <w:rPr>
                <w:rFonts w:ascii="Calibri" w:hAnsi="Calibri"/>
                <w:sz w:val="24"/>
              </w:rPr>
              <w:t>8</w:t>
            </w:r>
          </w:p>
        </w:tc>
        <w:tc>
          <w:tcPr>
            <w:tcW w:type="dxa" w:w="8928"/>
          </w:tcPr>
          <w:p>
            <w:r>
              <w:rPr>
                <w:rFonts w:ascii="Calibri" w:hAnsi="Calibri"/>
                <w:sz w:val="24"/>
              </w:rPr>
              <w:t>Culture/History</w:t>
            </w:r>
          </w:p>
        </w:tc>
      </w:tr>
      <w:tr>
        <w:tc>
          <w:tcPr>
            <w:tcW w:type="dxa" w:w="864"/>
          </w:tcPr>
          <w:p>
            <w:r>
              <w:rPr>
                <w:rFonts w:ascii="Calibri" w:hAnsi="Calibri"/>
                <w:sz w:val="24"/>
              </w:rPr>
              <w:t>9</w:t>
            </w:r>
          </w:p>
        </w:tc>
        <w:tc>
          <w:tcPr>
            <w:tcW w:type="dxa" w:w="8928"/>
          </w:tcPr>
          <w:p>
            <w:r>
              <w:rPr>
                <w:rFonts w:ascii="Calibri" w:hAnsi="Calibri"/>
                <w:sz w:val="24"/>
              </w:rPr>
              <w:t>Education</w:t>
            </w:r>
          </w:p>
        </w:tc>
      </w:tr>
      <w:tr>
        <w:tc>
          <w:tcPr>
            <w:tcW w:type="dxa" w:w="864"/>
          </w:tcPr>
          <w:p>
            <w:r>
              <w:rPr>
                <w:rFonts w:ascii="Calibri" w:hAnsi="Calibri"/>
                <w:sz w:val="24"/>
              </w:rPr>
              <w:t>10</w:t>
            </w:r>
          </w:p>
        </w:tc>
        <w:tc>
          <w:tcPr>
            <w:tcW w:type="dxa" w:w="8928"/>
          </w:tcPr>
          <w:p>
            <w:r>
              <w:rPr>
                <w:rFonts w:ascii="Calibri" w:hAnsi="Calibri"/>
                <w:sz w:val="24"/>
              </w:rPr>
              <w:t>Youth</w:t>
            </w:r>
          </w:p>
        </w:tc>
      </w:tr>
      <w:tr>
        <w:tc>
          <w:tcPr>
            <w:tcW w:type="dxa" w:w="864"/>
          </w:tcPr>
          <w:p>
            <w:r>
              <w:rPr>
                <w:rFonts w:ascii="Calibri" w:hAnsi="Calibri"/>
                <w:sz w:val="24"/>
              </w:rPr>
              <w:t>11</w:t>
            </w:r>
          </w:p>
        </w:tc>
        <w:tc>
          <w:tcPr>
            <w:tcW w:type="dxa" w:w="8928"/>
          </w:tcPr>
          <w:p>
            <w:r>
              <w:rPr>
                <w:rFonts w:ascii="Calibri" w:hAnsi="Calibri"/>
                <w:sz w:val="24"/>
              </w:rPr>
              <w:t>Women</w:t>
            </w:r>
          </w:p>
        </w:tc>
      </w:tr>
      <w:tr>
        <w:tc>
          <w:tcPr>
            <w:tcW w:type="dxa" w:w="864"/>
          </w:tcPr>
          <w:p>
            <w:r>
              <w:rPr>
                <w:rFonts w:ascii="Calibri" w:hAnsi="Calibri"/>
                <w:sz w:val="24"/>
              </w:rPr>
              <w:t>12</w:t>
            </w:r>
          </w:p>
        </w:tc>
        <w:tc>
          <w:tcPr>
            <w:tcW w:type="dxa" w:w="8928"/>
          </w:tcPr>
          <w:p>
            <w:r>
              <w:rPr>
                <w:rFonts w:ascii="Calibri" w:hAnsi="Calibri"/>
                <w:sz w:val="24"/>
              </w:rPr>
              <w:t>Economic Development</w:t>
            </w:r>
          </w:p>
        </w:tc>
      </w:tr>
      <w:tr>
        <w:tc>
          <w:tcPr>
            <w:tcW w:type="dxa" w:w="864"/>
          </w:tcPr>
          <w:p>
            <w:r>
              <w:rPr>
                <w:rFonts w:ascii="Calibri" w:hAnsi="Calibri"/>
                <w:sz w:val="24"/>
              </w:rPr>
              <w:t>13</w:t>
            </w:r>
          </w:p>
        </w:tc>
        <w:tc>
          <w:tcPr>
            <w:tcW w:type="dxa" w:w="8928"/>
          </w:tcPr>
          <w:p>
            <w:r>
              <w:rPr>
                <w:rFonts w:ascii="Calibri" w:hAnsi="Calibri"/>
                <w:sz w:val="24"/>
              </w:rPr>
              <w:t>Agriculture</w:t>
            </w:r>
          </w:p>
        </w:tc>
      </w:tr>
      <w:tr>
        <w:tc>
          <w:tcPr>
            <w:tcW w:type="dxa" w:w="864"/>
          </w:tcPr>
          <w:p>
            <w:r>
              <w:rPr>
                <w:rFonts w:ascii="Calibri" w:hAnsi="Calibri"/>
                <w:sz w:val="24"/>
              </w:rPr>
              <w:t>14</w:t>
            </w:r>
          </w:p>
        </w:tc>
        <w:tc>
          <w:tcPr>
            <w:tcW w:type="dxa" w:w="8928"/>
          </w:tcPr>
          <w:p>
            <w:r>
              <w:rPr>
                <w:rFonts w:ascii="Calibri" w:hAnsi="Calibri"/>
                <w:sz w:val="24"/>
              </w:rPr>
              <w:t>Infrastructure</w:t>
            </w:r>
          </w:p>
        </w:tc>
      </w:tr>
      <w:tr>
        <w:tc>
          <w:tcPr>
            <w:tcW w:type="dxa" w:w="864"/>
          </w:tcPr>
          <w:p>
            <w:r>
              <w:rPr>
                <w:rFonts w:ascii="Calibri" w:hAnsi="Calibri"/>
                <w:sz w:val="24"/>
              </w:rPr>
              <w:t>15</w:t>
            </w:r>
          </w:p>
        </w:tc>
        <w:tc>
          <w:tcPr>
            <w:tcW w:type="dxa" w:w="8928"/>
          </w:tcPr>
          <w:p>
            <w:r>
              <w:rPr>
                <w:rFonts w:ascii="Calibri" w:hAnsi="Calibri"/>
                <w:sz w:val="24"/>
              </w:rPr>
              <w:t>Peacebuilding</w:t>
            </w:r>
          </w:p>
        </w:tc>
      </w:tr>
      <w:tr>
        <w:tc>
          <w:tcPr>
            <w:tcW w:type="dxa" w:w="864"/>
          </w:tcPr>
          <w:p>
            <w:r>
              <w:rPr>
                <w:rFonts w:ascii="Calibri" w:hAnsi="Calibri"/>
                <w:sz w:val="24"/>
              </w:rPr>
              <w:t>16</w:t>
            </w:r>
          </w:p>
        </w:tc>
        <w:tc>
          <w:tcPr>
            <w:tcW w:type="dxa" w:w="8928"/>
          </w:tcPr>
          <w:p>
            <w:r>
              <w:rPr>
                <w:rFonts w:ascii="Calibri" w:hAnsi="Calibri"/>
                <w:sz w:val="24"/>
              </w:rPr>
              <w:t>Research</w:t>
            </w:r>
          </w:p>
        </w:tc>
      </w:tr>
      <w:tr>
        <w:tc>
          <w:tcPr>
            <w:tcW w:type="dxa" w:w="864"/>
          </w:tcPr>
          <w:p>
            <w:r>
              <w:rPr>
                <w:rFonts w:ascii="Calibri" w:hAnsi="Calibri"/>
                <w:sz w:val="24"/>
              </w:rPr>
              <w:t>17</w:t>
            </w:r>
          </w:p>
        </w:tc>
        <w:tc>
          <w:tcPr>
            <w:tcW w:type="dxa" w:w="8928"/>
          </w:tcPr>
          <w:p>
            <w:r>
              <w:rPr>
                <w:rFonts w:ascii="Calibri" w:hAnsi="Calibri"/>
                <w:sz w:val="24"/>
              </w:rPr>
              <w:t>Communications</w:t>
            </w:r>
          </w:p>
        </w:tc>
      </w:tr>
      <w:tr>
        <w:tc>
          <w:tcPr>
            <w:tcW w:type="dxa" w:w="864"/>
          </w:tcPr>
          <w:p>
            <w:r>
              <w:rPr>
                <w:rFonts w:ascii="Calibri" w:hAnsi="Calibri"/>
                <w:sz w:val="24"/>
              </w:rPr>
              <w:t>18</w:t>
            </w:r>
          </w:p>
        </w:tc>
        <w:tc>
          <w:tcPr>
            <w:tcW w:type="dxa" w:w="8928"/>
          </w:tcPr>
          <w:p>
            <w:r>
              <w:rPr>
                <w:rFonts w:ascii="Calibri" w:hAnsi="Calibri"/>
                <w:sz w:val="24"/>
              </w:rPr>
              <w:t>Diaspora</w:t>
            </w:r>
          </w:p>
        </w:tc>
      </w:tr>
      <w:tr>
        <w:tc>
          <w:tcPr>
            <w:tcW w:type="dxa" w:w="864"/>
          </w:tcPr>
          <w:p>
            <w:r>
              <w:rPr>
                <w:rFonts w:ascii="Calibri" w:hAnsi="Calibri"/>
                <w:sz w:val="24"/>
              </w:rPr>
              <w:t>19</w:t>
            </w:r>
          </w:p>
        </w:tc>
        <w:tc>
          <w:tcPr>
            <w:tcW w:type="dxa" w:w="8928"/>
          </w:tcPr>
          <w:p>
            <w:r>
              <w:rPr>
                <w:rFonts w:ascii="Calibri" w:hAnsi="Calibri"/>
                <w:sz w:val="24"/>
              </w:rPr>
              <w:t>Technology/Data</w:t>
            </w:r>
          </w:p>
        </w:tc>
      </w:tr>
      <w:tr>
        <w:tc>
          <w:tcPr>
            <w:tcW w:type="dxa" w:w="864"/>
          </w:tcPr>
          <w:p>
            <w:r>
              <w:rPr>
                <w:rFonts w:ascii="Calibri" w:hAnsi="Calibri"/>
                <w:sz w:val="24"/>
              </w:rPr>
              <w:t>20</w:t>
            </w:r>
          </w:p>
        </w:tc>
        <w:tc>
          <w:tcPr>
            <w:tcW w:type="dxa" w:w="8928"/>
          </w:tcPr>
          <w:p>
            <w:r>
              <w:rPr>
                <w:rFonts w:ascii="Calibri" w:hAnsi="Calibri"/>
                <w:sz w:val="24"/>
              </w:rPr>
              <w:t>Project Development</w:t>
            </w:r>
          </w:p>
        </w:tc>
      </w:tr>
      <w:tr>
        <w:tc>
          <w:tcPr>
            <w:tcW w:type="dxa" w:w="864"/>
          </w:tcPr>
          <w:p>
            <w:r>
              <w:rPr>
                <w:rFonts w:ascii="Calibri" w:hAnsi="Calibri"/>
                <w:sz w:val="24"/>
              </w:rPr>
              <w:t>21</w:t>
            </w:r>
          </w:p>
        </w:tc>
        <w:tc>
          <w:tcPr>
            <w:tcW w:type="dxa" w:w="8928"/>
          </w:tcPr>
          <w:p>
            <w:r>
              <w:rPr>
                <w:rFonts w:ascii="Calibri" w:hAnsi="Calibri"/>
                <w:sz w:val="24"/>
              </w:rPr>
              <w:t>Partnerships/Fundraising</w:t>
            </w:r>
          </w:p>
        </w:tc>
      </w:tr>
    </w:tbl>
    <w:p/>
    <w:p>
      <w:r>
        <w:rPr>
          <w:rFonts w:ascii="Calibri" w:hAnsi="Calibri"/>
          <w:b w:val="0"/>
          <w:i/>
          <w:sz w:val="24"/>
        </w:rPr>
        <w:t>Its mandate should be temporary and should terminate when the substantive constitutional organs are inaugurated.</w:t>
      </w:r>
    </w:p>
    <w:p>
      <w:pPr>
        <w:pStyle w:val="Heading1"/>
      </w:pPr>
      <w:r>
        <w:rPr>
          <w:rFonts w:ascii="Calibri" w:hAnsi="Calibri"/>
          <w:color w:val="1F4E79"/>
          <w:sz w:val="24"/>
        </w:rPr>
        <w:t>23. The KDF Development Model</w:t>
      </w:r>
    </w:p>
    <w:p>
      <w:r>
        <w:rPr>
          <w:rFonts w:ascii="Calibri" w:hAnsi="Calibri"/>
          <w:b w:val="0"/>
          <w:i w:val="0"/>
          <w:sz w:val="24"/>
        </w:rPr>
        <w:t>The Forum should adopt a simple philosophy:</w:t>
      </w:r>
    </w:p>
    <w:p>
      <w:pPr>
        <w:jc w:val="center"/>
      </w:pPr>
      <w:r>
        <w:rPr>
          <w:rFonts w:ascii="Calibri" w:hAnsi="Calibri"/>
          <w:sz w:val="24"/>
        </w:rPr>
        <w:drawing>
          <wp:inline xmlns:a="http://schemas.openxmlformats.org/drawingml/2006/main" xmlns:pic="http://schemas.openxmlformats.org/drawingml/2006/picture">
            <wp:extent cx="5852160" cy="1342239"/>
            <wp:docPr id="3" name="Picture 3"/>
            <wp:cNvGraphicFramePr>
              <a:graphicFrameLocks noChangeAspect="1"/>
            </wp:cNvGraphicFramePr>
            <a:graphic>
              <a:graphicData uri="http://schemas.openxmlformats.org/drawingml/2006/picture">
                <pic:pic>
                  <pic:nvPicPr>
                    <pic:cNvPr id="0" name="development_model_flow.png"/>
                    <pic:cNvPicPr/>
                  </pic:nvPicPr>
                  <pic:blipFill>
                    <a:blip r:embed="rId11"/>
                    <a:stretch>
                      <a:fillRect/>
                    </a:stretch>
                  </pic:blipFill>
                  <pic:spPr>
                    <a:xfrm>
                      <a:off x="0" y="0"/>
                      <a:ext cx="5852160" cy="1342239"/>
                    </a:xfrm>
                    <a:prstGeom prst="rect"/>
                  </pic:spPr>
                </pic:pic>
              </a:graphicData>
            </a:graphic>
          </wp:inline>
        </w:drawing>
      </w:r>
    </w:p>
    <w:p>
      <w:r>
        <w:rPr>
          <w:rFonts w:ascii="Calibri" w:hAnsi="Calibri"/>
          <w:b w:val="0"/>
          <w:i/>
          <w:sz w:val="24"/>
        </w:rPr>
        <w:t>Every proposed KDF project should pass through these six stages. This will prevent the Forum from becoming primarily a platform for meetings and resolutions.</w:t>
      </w:r>
    </w:p>
    <w:p>
      <w:pPr>
        <w:pStyle w:val="Heading1"/>
      </w:pPr>
      <w:r>
        <w:rPr>
          <w:rFonts w:ascii="Calibri" w:hAnsi="Calibri"/>
          <w:color w:val="1F4E79"/>
          <w:sz w:val="24"/>
        </w:rPr>
        <w:t>24. Proposed Inaugural Theme</w:t>
      </w:r>
    </w:p>
    <w:p>
      <w:pPr>
        <w:jc w:val="center"/>
      </w:pPr>
      <w:r>
        <w:rPr>
          <w:rFonts w:ascii="Calibri" w:hAnsi="Calibri"/>
          <w:b/>
          <w:i/>
          <w:color w:val="BF8F00"/>
          <w:sz w:val="24"/>
        </w:rPr>
        <w:t>"One People, Shared Heritage, Common Future: Mobilising Kwararafa Human and Economic Capital for Sustainable Development."</w:t>
      </w:r>
    </w:p>
    <w:p>
      <w:pPr>
        <w:pStyle w:val="Heading1"/>
      </w:pPr>
      <w:r>
        <w:rPr>
          <w:rFonts w:ascii="Calibri" w:hAnsi="Calibri"/>
          <w:color w:val="1F4E79"/>
          <w:sz w:val="24"/>
        </w:rPr>
        <w:t>25. Presidential Declaration of Purpose</w:t>
      </w:r>
    </w:p>
    <w:p>
      <w:r>
        <w:rPr>
          <w:rFonts w:ascii="Calibri" w:hAnsi="Calibri"/>
          <w:b w:val="0"/>
          <w:i w:val="0"/>
          <w:sz w:val="24"/>
        </w:rPr>
        <w:t>At the inaugural meeting, the President may declare:</w:t>
      </w:r>
    </w:p>
    <w:p>
      <w:r>
        <w:rPr>
          <w:rFonts w:ascii="Calibri" w:hAnsi="Calibri"/>
          <w:i/>
          <w:sz w:val="24"/>
        </w:rPr>
        <w:t>"Kwararafa Development Forum is established not merely to remember our past, but to organise our present and build our common future. Our objective is to transform our shared heritage into shared opportunity; our human capital into development; our diversity into strength; and our communities into partners in peace and progress. KDF shall belong to all, serve all and be accountable to all."</w:t>
      </w:r>
    </w:p>
    <w:p>
      <w:pPr>
        <w:pStyle w:val="Heading1"/>
      </w:pPr>
      <w:r>
        <w:rPr>
          <w:rFonts w:ascii="Calibri" w:hAnsi="Calibri"/>
          <w:color w:val="1F4E79"/>
          <w:sz w:val="24"/>
        </w:rPr>
        <w:t>26. Immediate Decisions Required from the Inaugural Meeting</w:t>
      </w:r>
    </w:p>
    <w:p>
      <w:r>
        <w:rPr>
          <w:rFonts w:ascii="Calibri" w:hAnsi="Calibri"/>
          <w:b w:val="0"/>
          <w:i w:val="0"/>
          <w:sz w:val="24"/>
        </w:rPr>
        <w:t>The inaugural meeting should approve only the essential matters:</w:t>
      </w:r>
    </w:p>
    <w:p>
      <w:pPr>
        <w:pStyle w:val="ListNumber"/>
      </w:pPr>
      <w:r>
        <w:rPr>
          <w:rFonts w:ascii="Calibri" w:hAnsi="Calibri"/>
          <w:sz w:val="24"/>
        </w:rPr>
        <w:t>Adoption of the name - Kwararafa Development Forum (KDF).</w:t>
      </w:r>
    </w:p>
    <w:p>
      <w:pPr>
        <w:pStyle w:val="ListNumber"/>
      </w:pPr>
      <w:r>
        <w:rPr>
          <w:rFonts w:ascii="Calibri" w:hAnsi="Calibri"/>
          <w:sz w:val="24"/>
        </w:rPr>
        <w:t>Adoption of the vision and mission.</w:t>
      </w:r>
    </w:p>
    <w:p>
      <w:pPr>
        <w:pStyle w:val="ListNumber"/>
      </w:pPr>
      <w:r>
        <w:rPr>
          <w:rFonts w:ascii="Calibri" w:hAnsi="Calibri"/>
          <w:sz w:val="24"/>
        </w:rPr>
        <w:t>Approval of the interim governance structure.</w:t>
      </w:r>
    </w:p>
    <w:p>
      <w:pPr>
        <w:pStyle w:val="ListNumber"/>
      </w:pPr>
      <w:r>
        <w:rPr>
          <w:rFonts w:ascii="Calibri" w:hAnsi="Calibri"/>
          <w:sz w:val="24"/>
        </w:rPr>
        <w:t>Appointment of the Inaugural Steering Committee.</w:t>
      </w:r>
    </w:p>
    <w:p>
      <w:pPr>
        <w:pStyle w:val="ListNumber"/>
      </w:pPr>
      <w:r>
        <w:rPr>
          <w:rFonts w:ascii="Calibri" w:hAnsi="Calibri"/>
          <w:sz w:val="24"/>
        </w:rPr>
        <w:t>Approval of the constitutional drafting committee.</w:t>
      </w:r>
    </w:p>
    <w:p>
      <w:pPr>
        <w:pStyle w:val="ListNumber"/>
      </w:pPr>
      <w:r>
        <w:rPr>
          <w:rFonts w:ascii="Calibri" w:hAnsi="Calibri"/>
          <w:sz w:val="24"/>
        </w:rPr>
        <w:t>Approval of membership framework.</w:t>
      </w:r>
    </w:p>
    <w:p>
      <w:pPr>
        <w:pStyle w:val="ListNumber"/>
      </w:pPr>
      <w:r>
        <w:rPr>
          <w:rFonts w:ascii="Calibri" w:hAnsi="Calibri"/>
          <w:sz w:val="24"/>
        </w:rPr>
        <w:t>Approval of the six Directorates.</w:t>
      </w:r>
    </w:p>
    <w:p>
      <w:pPr>
        <w:pStyle w:val="ListNumber"/>
      </w:pPr>
      <w:r>
        <w:rPr>
          <w:rFonts w:ascii="Calibri" w:hAnsi="Calibri"/>
          <w:sz w:val="24"/>
        </w:rPr>
        <w:t>Approval of the first 100-day programme.</w:t>
      </w:r>
    </w:p>
    <w:p>
      <w:pPr>
        <w:pStyle w:val="ListNumber"/>
      </w:pPr>
      <w:r>
        <w:rPr>
          <w:rFonts w:ascii="Calibri" w:hAnsi="Calibri"/>
          <w:sz w:val="24"/>
        </w:rPr>
        <w:t>Approval of the process for registration.</w:t>
      </w:r>
    </w:p>
    <w:p>
      <w:pPr>
        <w:pStyle w:val="ListNumber"/>
      </w:pPr>
      <w:r>
        <w:rPr>
          <w:rFonts w:ascii="Calibri" w:hAnsi="Calibri"/>
          <w:sz w:val="24"/>
        </w:rPr>
        <w:t>Approval of the first KDF National Development Conference.</w:t>
      </w:r>
    </w:p>
    <w:p>
      <w:pPr>
        <w:pStyle w:val="Heading1"/>
      </w:pPr>
      <w:r>
        <w:rPr>
          <w:rFonts w:ascii="Calibri" w:hAnsi="Calibri"/>
          <w:color w:val="1F4E79"/>
          <w:sz w:val="24"/>
        </w:rPr>
        <w:t>Conclusion</w:t>
      </w:r>
    </w:p>
    <w:p>
      <w:r>
        <w:rPr>
          <w:rFonts w:ascii="Calibri" w:hAnsi="Calibri"/>
          <w:b w:val="0"/>
          <w:i w:val="0"/>
          <w:sz w:val="24"/>
        </w:rPr>
        <w:t>The proposed structure deliberately keeps KDF lean at the top and strong at the grassroots.</w:t>
      </w:r>
    </w:p>
    <w:p>
      <w:r>
        <w:rPr>
          <w:rFonts w:ascii="Calibri" w:hAnsi="Calibri"/>
          <w:b w:val="0"/>
          <w:i w:val="0"/>
          <w:sz w:val="24"/>
        </w:rPr>
        <w:t>The President provides strategic leadership; the Board provides institutional continuity; the NEC provides executive direction; the six Directorates provide professional capacity; and the State and Community Chapters provide grassroots implementation.</w:t>
      </w:r>
    </w:p>
    <w:p>
      <w:r>
        <w:rPr>
          <w:rFonts w:ascii="Calibri" w:hAnsi="Calibri"/>
          <w:b/>
          <w:i w:val="0"/>
          <w:sz w:val="24"/>
        </w:rPr>
        <w:t>The ultimate objective should be to build an institution that survives individual personalities and administrations and becomes a permanent platform for unity, cultural preservation, human-capital development and economic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