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A1F44"/>
          <w:sz w:val="30"/>
        </w:rPr>
        <w:t>BETONIQ WEST LTD — FULL ZERÔPÂŶ MONEY FINTECH OFFER</w:t>
      </w:r>
    </w:p>
    <w:p>
      <w:r>
        <w:rPr>
          <w:b w:val="0"/>
          <w:i/>
          <w:color w:val="444444"/>
          <w:sz w:val="21"/>
        </w:rPr>
        <w:t>Companion document to the Real Estate-Led Joint Venture Proposal for Wisdom Kwati</w:t>
      </w:r>
    </w:p>
    <w:p>
      <w:r>
        <w:rPr>
          <w:b/>
          <w:i w:val="0"/>
          <w:color w:val="B00020"/>
          <w:sz w:val="18"/>
        </w:rPr>
        <w:t>DRAFT — Aug 13, 2026 — awaiting Tom's review before any send</w:t>
      </w:r>
    </w:p>
    <w:p>
      <w:r>
        <w:rPr>
          <w:i/>
          <w:color w:val="B00020"/>
          <w:sz w:val="21"/>
        </w:rPr>
        <w:t>ZerôPâŷ Money — PSSP + PTSP + Super-Agent Platform, Fintech-as-a-Service. This document shows the full ZerôPâŷ Money platform and its 18-month revenue profile not just as an equity sweetener, but as the prelude package for two things at once: the CBN Regulatory Sandbox application, and the model we intend to show future institutional investors once licensing and the Niger State pilot are underway.</w:t>
      </w:r>
    </w:p>
    <w:p>
      <w:r>
        <w:rPr>
          <w:b/>
          <w:color w:val="B00020"/>
          <w:sz w:val="25"/>
        </w:rPr>
        <w:t>1. The Licensing Strategy</w:t>
      </w:r>
    </w:p>
    <w:p>
      <w:r>
        <w:rPr>
          <w:b w:val="0"/>
          <w:i w:val="0"/>
          <w:color w:val="000000"/>
          <w:sz w:val="21"/>
        </w:rPr>
        <w:t>ZerôPâŷ Money is pursuing three CBN licenses rather than operating as a sub-merchant under a third-party payment processor:</w:t>
      </w:r>
    </w:p>
    <w:p>
      <w:r>
        <w:rPr>
          <w:b w:val="0"/>
          <w:i w:val="0"/>
          <w:color w:val="000000"/>
          <w:sz w:val="21"/>
        </w:rPr>
        <w:t>1. Payment Solution Services Provider (PSSP) — NGN100,000,000 deposit — covers payment gateway, processing, and merchant aggregation.</w:t>
      </w:r>
    </w:p>
    <w:p>
      <w:r>
        <w:rPr>
          <w:b w:val="0"/>
          <w:i w:val="0"/>
          <w:color w:val="000000"/>
          <w:sz w:val="21"/>
        </w:rPr>
        <w:t>2. Payment Terminal Service Provider (PTSP) — NGN100,000,000 deposit — covers deployment, maintenance, and management of the offline POS terminal network.</w:t>
      </w:r>
    </w:p>
    <w:p>
      <w:r>
        <w:rPr>
          <w:b w:val="0"/>
          <w:i w:val="0"/>
          <w:color w:val="000000"/>
          <w:sz w:val="21"/>
        </w:rPr>
        <w:t>3. Super-Agent license — NGN50,000,000 deposit — covers the field agent network performing cash-in/cash-out (CICO) operations directly, rather than relying on a third-party principal.</w:t>
      </w:r>
    </w:p>
    <w:p>
      <w:r>
        <w:rPr>
          <w:b w:val="0"/>
          <w:i w:val="0"/>
          <w:color w:val="000000"/>
          <w:sz w:val="21"/>
        </w:rPr>
        <w:t>Total licensing capital required: approximately NGN250,000,000 (~$158,000 at NGN1,580 = $1), funded from within the fintech portion of the raise. These are shareholder-fund deposits held by the CBN during application review and returned with interest on approval — not spent capital.</w:t>
      </w:r>
    </w:p>
    <w:p>
      <w:r>
        <w:rPr>
          <w:b w:val="0"/>
          <w:i/>
          <w:color w:val="000000"/>
          <w:sz w:val="21"/>
        </w:rPr>
        <w:t>A Mobile Money Operator (MMO) license, which would allow e-money issuance and wallet services, requires a NGN2,000,000,000 deposit — beyond what this raise can support — and is a stated Phase 3+ ambition once revenue justifies it, not part of this offer.</w:t>
      </w:r>
    </w:p>
    <w:p>
      <w:r>
        <w:rPr>
          <w:b/>
          <w:color w:val="B00020"/>
          <w:sz w:val="25"/>
        </w:rPr>
        <w:t>2. CBN Regulatory Sandbox — Niger State Proof of Concept</w:t>
      </w:r>
    </w:p>
    <w:p>
      <w:r>
        <w:rPr>
          <w:b w:val="0"/>
          <w:i w:val="0"/>
          <w:color w:val="000000"/>
          <w:sz w:val="21"/>
        </w:rPr>
        <w:t>Ahead of full licensing, ZerôPâŷ Money is applying to the CBN Regulatory Sandbox to request a temporary waiver of the NGN15,000 per-transaction contactless payment limit for a closed user group in Niger State — the first zone in the rollout schedule below. This lets the technology be proven under CBN supervision before scaling to the other three zones.</w:t>
      </w:r>
    </w:p>
    <w:p>
      <w:r>
        <w:rPr>
          <w:b/>
          <w:color w:val="B00020"/>
          <w:sz w:val="25"/>
        </w:rPr>
        <w:t>3. Rollout Schedule</w:t>
      </w:r>
    </w:p>
    <w:p>
      <w:r>
        <w:rPr>
          <w:b w:val="0"/>
          <w:i w:val="0"/>
          <w:color w:val="000000"/>
          <w:sz w:val="21"/>
        </w:rPr>
        <w:t>180 terminals and 45 field agents across four zones, phased over an 18-month program: Niger State (month 2), Kaduna (month 3), Benue (month 4), Edo (month 5). Each zone ramps from 20% of mature volume in its first live month to 100% by its fourth live month.</w:t>
      </w:r>
    </w:p>
    <w:p>
      <w:r>
        <w:rPr>
          <w:b/>
          <w:color w:val="B00020"/>
          <w:sz w:val="25"/>
        </w:rPr>
        <w:t>4. How to Read the Revenue Table Below</w:t>
      </w:r>
    </w:p>
    <w:p>
      <w:r>
        <w:rPr>
          <w:b w:val="0"/>
          <w:i w:val="0"/>
          <w:color w:val="000000"/>
          <w:sz w:val="21"/>
        </w:rPr>
        <w:t>GTV (Gross Transaction Value) is the total naira value moving through the terminals in a month — a volume measure, not our income. POS Fee Revenue uses the CBN's actual tiered Electronic Transfer Cap: our average transaction size (NGN45,089) falls in the NGN5,000-50,000 tier, capped at NGN10 per transaction, kept in full by ZerôPâŷ Money under its own PSSP/PTSP license. CICO Revenue is new to this model: field agents, once licensed as Super-Agents, earn a blended average of NGN150 per cash-in/cash-out transaction, based on real published agent commission schedules, assuming a conservative 15 CICO transactions per agent per day at full maturity — a planning assumption, not yet field-validated. All USD figures use NGN1,580 = $1.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pPr>
              <w:jc w:val="center"/>
            </w:pPr>
            <w:r>
              <w:rPr>
                <w:b/>
                <w:sz w:val="17"/>
              </w:rPr>
              <w:t>Mo.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b/>
                <w:sz w:val="17"/>
              </w:rPr>
              <w:t>Term.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b/>
                <w:sz w:val="17"/>
              </w:rPr>
              <w:t>GTV (NGN)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b/>
                <w:sz w:val="17"/>
              </w:rPr>
              <w:t>POS Rev (NGN)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b/>
                <w:sz w:val="17"/>
              </w:rPr>
              <w:t>CICO Rev (NGN)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b/>
                <w:sz w:val="17"/>
              </w:rPr>
              <w:t>Total Rev (NGN)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b/>
                <w:sz w:val="17"/>
              </w:rPr>
              <w:t>Total Rev (USD)</w:t>
            </w:r>
          </w:p>
        </w:tc>
      </w:tr>
      <w:tr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45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121,500,000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26,947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607,500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634,447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90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364,500,000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80,840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1,822,500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1,903,340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1,205</w:t>
            </w:r>
          </w:p>
        </w:tc>
      </w:tr>
      <w:tr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135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789,750,000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175,154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3,948,750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4,123,904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2,610</w:t>
            </w:r>
          </w:p>
        </w:tc>
      </w:tr>
      <w:tr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180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1,397,250,000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309,887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6,986,250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7,296,137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4,618</w:t>
            </w:r>
          </w:p>
        </w:tc>
      </w:tr>
      <w:tr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180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1,883,250,000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417,674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9,416,250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9,833,924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6,224</w:t>
            </w:r>
          </w:p>
        </w:tc>
      </w:tr>
      <w:tr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180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2,247,750,000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498,514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11,238,750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11,737,264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7,429</w:t>
            </w:r>
          </w:p>
        </w:tc>
      </w:tr>
      <w:tr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180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2,430,000,000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538,934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12,150,000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12,688,934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8,031</w:t>
            </w:r>
          </w:p>
        </w:tc>
      </w:tr>
      <w:tr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180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2,430,000,000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538,934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12,150,000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12,688,934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8,031</w:t>
            </w:r>
          </w:p>
        </w:tc>
      </w:tr>
      <w:tr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180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2,430,000,000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538,934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12,150,000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12,688,934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8,031</w:t>
            </w:r>
          </w:p>
        </w:tc>
      </w:tr>
      <w:tr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180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2,430,000,000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538,934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12,150,000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12,688,934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8,031</w:t>
            </w:r>
          </w:p>
        </w:tc>
      </w:tr>
      <w:tr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180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2,430,000,000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538,934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12,150,000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12,688,934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8,031</w:t>
            </w:r>
          </w:p>
        </w:tc>
      </w:tr>
      <w:tr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180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2,430,000,000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538,934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12,150,000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12,688,934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8,031</w:t>
            </w:r>
          </w:p>
        </w:tc>
      </w:tr>
      <w:tr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180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2,430,000,000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538,934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12,150,000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12,688,934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8,031</w:t>
            </w:r>
          </w:p>
        </w:tc>
      </w:tr>
      <w:tr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180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2,430,000,000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538,934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12,150,000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12,688,934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8,031</w:t>
            </w:r>
          </w:p>
        </w:tc>
      </w:tr>
      <w:tr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180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2,430,000,000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538,934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12,150,000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12,688,934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8,031</w:t>
            </w:r>
          </w:p>
        </w:tc>
      </w:tr>
      <w:tr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180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2,430,000,000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538,934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12,150,000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12,688,934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8,031</w:t>
            </w:r>
          </w:p>
        </w:tc>
      </w:tr>
      <w:tr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180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2,430,000,000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538,934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12,150,000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12,688,934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6"/>
              </w:rPr>
              <w:t>8,031</w:t>
            </w:r>
          </w:p>
        </w:tc>
      </w:tr>
    </w:tbl>
    <w:p>
      <w:r>
        <w:rPr>
          <w:b/>
          <w:i w:val="0"/>
          <w:color w:val="000000"/>
          <w:sz w:val="21"/>
        </w:rPr>
        <w:br/>
        <w:t>18-month cumulative revenue across both streams: NGN175,107,290 (~$110,827) — roughly 13-14x higher than the POS-only model used before this pivot (previously ~$8,239 over the same period). Steady-state monthly revenue from month 8 onward: NGN12,688,934 (~$8,031/month), split between merchant POS fees and agent CICO commissions.</w:t>
      </w:r>
    </w:p>
    <w:p>
      <w:r>
        <w:rPr>
          <w:b/>
          <w:color w:val="B00020"/>
          <w:sz w:val="25"/>
        </w:rPr>
        <w:t>5. The Honest Part — Where This Still Falls Short</w:t>
      </w:r>
    </w:p>
    <w:p>
      <w:r>
        <w:rPr>
          <w:b w:val="0"/>
          <w:i/>
          <w:color w:val="000000"/>
          <w:sz w:val="21"/>
        </w:rPr>
        <w:t>Even with the dual-license revenue uplift, monthly operating cost at full maturity (personnel plus security operations, roughly NGN64,400,000/month, ~$40,760) is still far higher than monthly revenue (NGN12,688,934, ~$8,031). The triple-license strategy meaningfully improves the revenue picture — it does not, on its own, make the fintech business self-funding within this 18-month window. This is why the equity stake is positioned as upside tied to future scale and licensing progress, not a cash-yield promise, and why the real estate JV carries the primary investment case in the companion document.</w:t>
      </w:r>
    </w:p>
    <w:p>
      <w:r>
        <w:rPr>
          <w:b/>
          <w:color w:val="B00020"/>
          <w:sz w:val="25"/>
        </w:rPr>
        <w:t>6. The Equity Offer</w:t>
      </w:r>
    </w:p>
    <w:p>
      <w:r>
        <w:rPr>
          <w:b w:val="0"/>
          <w:i w:val="0"/>
          <w:color w:val="000000"/>
          <w:sz w:val="21"/>
        </w:rPr>
        <w:t>In exchange for the land contribution and capital committed under the joint real estate and fintech structure, Kwati receives a 40% equity stake in ZerôPâŷ Money and a 20% equity stake in BETONIQ WEST LTD. This is fixed as part of the overall relationship, independent of near-term fintech cash performance.</w:t>
      </w:r>
    </w:p>
    <w:p>
      <w:r>
        <w:rPr>
          <w:b/>
          <w:i w:val="0"/>
          <w:color w:val="000000"/>
          <w:sz w:val="21"/>
        </w:rPr>
        <w:br/>
        <w:t>Tom Ugbodaga</w:t>
        <w:br/>
        <w:t>Shareholder &amp; CEO, BETONIQ WEST LTD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