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ZEROPAY MONEY LIMITED — UK INCORPORATION PACKAGE</w:t>
      </w:r>
    </w:p>
    <w:p>
      <w:r>
        <w:rPr>
          <w:b/>
          <w:sz w:val="36"/>
        </w:rPr>
        <w:t>BETONIQ WEST LTD (RC 1496603) — UK Entity Establishment Plan</w:t>
      </w:r>
    </w:p>
    <w:p>
      <w:r>
        <w:rPr>
          <w:b w:val="0"/>
          <w:sz w:val="32"/>
        </w:rPr>
        <w:t>Prepared by AI Agent 777 for Tom Ugbodaga, Shareholder &amp; CEO — Draft for review, not yet filed</w:t>
      </w:r>
    </w:p>
    <w:p>
      <w:r>
        <w:rPr>
          <w:b w:val="0"/>
          <w:sz w:val="32"/>
        </w:rPr>
        <w:t>Date: 2 September 2026</w:t>
      </w:r>
    </w:p>
    <w:p>
      <w:pPr>
        <w:pStyle w:val="Heading1"/>
      </w:pPr>
      <w:r>
        <w:t>1. Purpose</w:t>
      </w:r>
    </w:p>
    <w:p>
      <w:r>
        <w:rPr>
          <w:b w:val="0"/>
          <w:sz w:val="32"/>
        </w:rPr>
        <w:t>Establish a UK-registered private limited company to (a) unlock eligibility for Innovate UK grants (via Venturenomix) and the EIC Accelerator (both currently blocked because BETONIQ WEST LTD is a Nigerian entity and no eligible EU/UK presence exists yet), and (b) give ZeroPay/ZeroPay Money a credible, internationally recognised holding structure for future IP registration, partnership contracts, and investor-facing documentation.</w:t>
      </w:r>
    </w:p>
    <w:p>
      <w:pPr>
        <w:pStyle w:val="Heading1"/>
      </w:pPr>
      <w:r>
        <w:t>2. Proposed Company Details</w:t>
      </w:r>
    </w:p>
    <w:p>
      <w:pPr>
        <w:pStyle w:val="ListBullet"/>
      </w:pPr>
      <w:r>
        <w:rPr>
          <w:sz w:val="32"/>
        </w:rPr>
        <w:t>Proposed registered name: ZeroPay Money Limited (Companies House does not accept accented characters — the stylised "ZeroPay Money" branding stays for marketing/trademark use, but the legal filing name must be plain ASCII)</w:t>
      </w:r>
    </w:p>
    <w:p>
      <w:pPr>
        <w:pStyle w:val="ListBullet"/>
      </w:pPr>
      <w:r>
        <w:rPr>
          <w:sz w:val="32"/>
        </w:rPr>
        <w:t>Company type: Private company limited by shares</w:t>
      </w:r>
    </w:p>
    <w:p>
      <w:pPr>
        <w:pStyle w:val="ListBullet"/>
      </w:pPr>
      <w:r>
        <w:rPr>
          <w:sz w:val="32"/>
        </w:rPr>
        <w:t>Registered in: England &amp; Wales (via Companies House, gov.uk)</w:t>
      </w:r>
    </w:p>
    <w:p>
      <w:pPr>
        <w:pStyle w:val="ListBullet"/>
      </w:pPr>
      <w:r>
        <w:rPr>
          <w:sz w:val="32"/>
        </w:rPr>
        <w:t>Registered office: 15 Fleming House, Dickens Estate, George Row, London, SE16 4UL (Mrs Oyetoro Adeyemi-Ugbodaga's UK address). Note: this address will be publicly visible on the Companies House register once filed, unless a registered office address service is used instead.</w:t>
      </w:r>
    </w:p>
    <w:p>
      <w:pPr>
        <w:pStyle w:val="ListBullet"/>
      </w:pPr>
      <w:r>
        <w:rPr>
          <w:sz w:val="32"/>
        </w:rPr>
        <w:t>Proposed SIC codes (up to 4 allowed): 66190 - Activities auxiliary to financial intermediation n.e.c. (primary, fits a payment protocol/infrastructure layer); 62012 - Business and domestic software development (covers the cryptographic protocol/firmware work); 62020 - Information technology consultancy activities (secondary, optional)</w:t>
      </w:r>
    </w:p>
    <w:p>
      <w:pPr>
        <w:pStyle w:val="Heading1"/>
      </w:pPr>
      <w:r>
        <w:t>3. Directors</w:t>
      </w:r>
    </w:p>
    <w:p>
      <w:pPr>
        <w:pStyle w:val="ListBullet"/>
      </w:pPr>
      <w:r>
        <w:rPr>
          <w:sz w:val="32"/>
        </w:rPr>
        <w:t>Tom Deggs Ugbodaga - Director. Service address: 15 Fleming House, Dickens Estate, George Row, London, SE16 4UL</w:t>
      </w:r>
    </w:p>
    <w:p>
      <w:pPr>
        <w:pStyle w:val="ListBullet"/>
      </w:pPr>
      <w:r>
        <w:rPr>
          <w:sz w:val="32"/>
        </w:rPr>
        <w:t>Mrs Oyetoro Adeyemi-Ugbodaga - Director (UK-resident, London). Service address: 15 Fleming House, Dickens Estate, George Row, London, SE16 4UL</w:t>
      </w:r>
    </w:p>
    <w:p>
      <w:pPr>
        <w:pStyle w:val="ListBullet"/>
      </w:pPr>
      <w:r>
        <w:rPr>
          <w:sz w:val="32"/>
        </w:rPr>
        <w:t>Air Vice Marshal Monday Riku Morgan (Rtd) - Director. Service address: PENDING - Tom to send AVM Morgan's UK address</w:t>
      </w:r>
    </w:p>
    <w:p>
      <w:pPr>
        <w:pStyle w:val="ListBullet"/>
      </w:pPr>
      <w:r>
        <w:rPr>
          <w:sz w:val="32"/>
        </w:rPr>
        <w:t>Professor (Mrs) Regina Morgan - Director (AVM Morgan's wife). Service address: PENDING - same UK address as AVM Morgan, to be sent by Tom</w:t>
      </w:r>
    </w:p>
    <w:p>
      <w:r>
        <w:rPr>
          <w:b w:val="0"/>
          <w:sz w:val="32"/>
        </w:rPr>
        <w:t>Note: Companies House now requires identity verification (ID) for all directors as of the 2025 reforms. This can be completed online/remotely - either directly via GOV.UK One Login (photo ID + selfie check) or through an Authorised Corporate Service Provider (ACSP, e.g. a formation agent) who verifies ID on the director's behalf. Nigeria-resident directors are NOT blocked from this - verification is identity-based, not residency-based.</w:t>
      </w:r>
    </w:p>
    <w:p>
      <w:pPr>
        <w:pStyle w:val="Heading1"/>
      </w:pPr>
      <w:r>
        <w:t>4. Shareholding - Decision Needed</w:t>
      </w:r>
    </w:p>
    <w:p>
      <w:r>
        <w:rPr>
          <w:b/>
          <w:sz w:val="32"/>
        </w:rPr>
        <w:t>DECISION CONFIRMED (Sep 2, 2026): Option B - ZeroPay Money Limited is owned directly by the 4 named individuals as shareholders. Tom Deggs Ugbodaga is the Person with Significant Control (PSC).</w:t>
      </w:r>
    </w:p>
    <w:p>
      <w:pPr>
        <w:pStyle w:val="ListBullet"/>
      </w:pPr>
      <w:r>
        <w:rPr>
          <w:sz w:val="32"/>
        </w:rPr>
        <w:t>[Superseded] Option A - UK subsidiary of BETONIQ WEST LTD - NOT chosen.</w:t>
      </w:r>
    </w:p>
    <w:p>
      <w:pPr>
        <w:pStyle w:val="ListBullet"/>
      </w:pPr>
      <w:r>
        <w:rPr>
          <w:sz w:val="32"/>
        </w:rPr>
        <w:t>CONFIRMED SHARE SPLIT (Sep 2, 2026): Tom Deggs Ugbodaga 50%, AVM Monday Riku Morgan (Rtd) 25%, Mrs Oyetoro Adeyemi-Ugbodaga 15%, Professor (Mrs) Regina Morgan 10%. Total = 100%. Tom holds 50% &gt; 25% threshold, correctly qualifying as sole PSC on the PSC register.</w:t>
      </w:r>
    </w:p>
    <w:p>
      <w:pPr>
        <w:pStyle w:val="Heading1"/>
      </w:pPr>
      <w:r>
        <w:t>5. Articles of Association</w:t>
      </w:r>
    </w:p>
    <w:p>
      <w:r>
        <w:rPr>
          <w:b w:val="0"/>
          <w:sz w:val="32"/>
        </w:rPr>
        <w:t>Recommend adopting the Companies House standard "Model Articles for Private Companies Limited by Shares" - no customisation needed for a straightforward 4-director structure. Bespoke articles (e.g. specific share classes, board voting weightings) can be drafted later once outside investment enters the UK entity, but are not required for initial registration.</w:t>
      </w:r>
    </w:p>
    <w:p>
      <w:pPr>
        <w:pStyle w:val="Heading1"/>
      </w:pPr>
      <w:r>
        <w:t>6. Filing Checklist (once address is confirmed and funds available)</w:t>
      </w:r>
    </w:p>
    <w:p>
      <w:pPr>
        <w:pStyle w:val="ListBullet"/>
      </w:pPr>
      <w:r>
        <w:rPr>
          <w:sz w:val="32"/>
        </w:rPr>
        <w:t>1. Confirm proposed registered office address (Mrs Adeyemi-Ugbodaga's London address, or an address service)</w:t>
      </w:r>
    </w:p>
    <w:p>
      <w:pPr>
        <w:pStyle w:val="ListBullet"/>
      </w:pPr>
      <w:r>
        <w:rPr>
          <w:sz w:val="32"/>
        </w:rPr>
        <w:t>2. Run final name availability check on Companies House "Find and update company information" search</w:t>
      </w:r>
    </w:p>
    <w:p>
      <w:pPr>
        <w:pStyle w:val="ListBullet"/>
      </w:pPr>
      <w:r>
        <w:rPr>
          <w:sz w:val="32"/>
        </w:rPr>
        <w:t>3. Complete identity verification for all 4 directors (GOV.UK One Login or ACSP)</w:t>
      </w:r>
    </w:p>
    <w:p>
      <w:pPr>
        <w:pStyle w:val="ListBullet"/>
      </w:pPr>
      <w:r>
        <w:rPr>
          <w:sz w:val="32"/>
        </w:rPr>
        <w:t>4. File online via Companies House WebFiling or gov.uk incorporation service - fee 100 GBP (as of Feb 2026), usually approved within 24 hours</w:t>
      </w:r>
    </w:p>
    <w:p>
      <w:pPr>
        <w:pStyle w:val="ListBullet"/>
      </w:pPr>
      <w:r>
        <w:rPr>
          <w:sz w:val="32"/>
        </w:rPr>
        <w:t>5. Receive Certificate of Incorporation + Company Number</w:t>
      </w:r>
    </w:p>
    <w:p>
      <w:pPr>
        <w:pStyle w:val="ListBullet"/>
      </w:pPr>
      <w:r>
        <w:rPr>
          <w:sz w:val="32"/>
        </w:rPr>
        <w:t>6. Register for Corporation Tax with HMRC (automatic prompt after incorporation)</w:t>
      </w:r>
    </w:p>
    <w:p>
      <w:pPr>
        <w:pStyle w:val="ListBullet"/>
      </w:pPr>
      <w:r>
        <w:rPr>
          <w:sz w:val="32"/>
        </w:rPr>
        <w:t>7. Open a UK business bank account (may require in-person UK presence for some banks - flag if this becomes a blocker)</w:t>
      </w:r>
    </w:p>
    <w:p>
      <w:pPr>
        <w:pStyle w:val="ListBullet"/>
      </w:pPr>
      <w:r>
        <w:rPr>
          <w:sz w:val="32"/>
        </w:rPr>
        <w:t>8. Use new UK company number/address to re-register the EIC Accelerator PIC, and to apply via Venturenomix for Innovate UK</w:t>
      </w:r>
    </w:p>
    <w:p>
      <w:pPr>
        <w:pStyle w:val="Heading1"/>
      </w:pPr>
      <w:r>
        <w:t>7. Cost Summary</w:t>
      </w:r>
    </w:p>
    <w:p>
      <w:pPr>
        <w:pStyle w:val="ListBullet"/>
      </w:pPr>
      <w:r>
        <w:rPr>
          <w:sz w:val="32"/>
        </w:rPr>
        <w:t>Companies House online incorporation fee: 100 GBP (~135 USD / ~190,000 NGN at current rates)</w:t>
      </w:r>
    </w:p>
    <w:p>
      <w:pPr>
        <w:pStyle w:val="ListBullet"/>
      </w:pPr>
      <w:r>
        <w:rPr>
          <w:sz w:val="32"/>
        </w:rPr>
        <w:t>Optional registered office address service (if not using home address): typically 20-50 GBP/year</w:t>
      </w:r>
    </w:p>
    <w:p>
      <w:pPr>
        <w:pStyle w:val="ListBullet"/>
      </w:pPr>
      <w:r>
        <w:rPr>
          <w:sz w:val="32"/>
        </w:rPr>
        <w:t>Optional ACSP-assisted ID verification/formation agent service: typically 20-60 GBP one-off, if not doing GOV.UK One Login directly</w:t>
      </w:r>
    </w:p>
    <w:p>
      <w:pPr>
        <w:pStyle w:val="Heading1"/>
      </w:pPr>
      <w:r>
        <w:t>8. Outstanding Inputs Needed From Tom</w:t>
      </w:r>
    </w:p>
    <w:p>
      <w:pPr>
        <w:pStyle w:val="ListBullet"/>
      </w:pPr>
      <w:r>
        <w:rPr>
          <w:sz w:val="32"/>
        </w:rPr>
        <w:t>CONFIRMED: 15 Fleming House, Dickens Estate, George Row, London, SE16 4UL</w:t>
      </w:r>
    </w:p>
    <w:p>
      <w:pPr>
        <w:pStyle w:val="ListBullet"/>
      </w:pPr>
      <w:r>
        <w:rPr>
          <w:sz w:val="32"/>
        </w:rPr>
        <w:t>CONFIRMED: Share split finalized - Tom 50%, AVM Morgan 25%, Mrs Adeyemi-Ugbodaga 15%, Prof Regina Morgan 10% (Tom = sole PSC at 50%).</w:t>
      </w:r>
    </w:p>
    <w:p>
      <w:pPr>
        <w:pStyle w:val="ListBullet"/>
      </w:pPr>
      <w:r>
        <w:rPr>
          <w:sz w:val="32"/>
        </w:rPr>
        <w:t>Confirmation to proceed with the 100 GBP filing fee when funds allow</w:t>
      </w:r>
    </w:p>
    <w:p>
      <w:r>
        <w:rPr>
          <w:b/>
          <w:sz w:val="32"/>
        </w:rPr>
        <w:t>-- End of package. Ready to file once the above three inputs are confirmed. --</w:t>
      </w:r>
    </w:p>
    <w:p>
      <w:pPr>
        <w:pStyle w:val="Heading1"/>
      </w:pPr>
      <w:r>
        <w:t>9. Bespoke Article - Reserved Director Appointment Right + Weighted Removal Vote (Added Sep 2, 2026)</w:t>
      </w:r>
    </w:p>
    <w:p>
      <w:r>
        <w:rPr>
          <w:b/>
          <w:sz w:val="32"/>
        </w:rPr>
        <w:t>Tom has confirmed he wants guaranteed control over adding/removing directors, beyond what plain 50% shareholding gives him. Standard Model Articles are therefore NOT sufficient here - bespoke Articles are required. Draft clauses below:</w:t>
      </w:r>
    </w:p>
    <w:p>
      <w:pPr>
        <w:pStyle w:val="Heading1"/>
      </w:pPr>
      <w:r>
        <w:t>9.1 Appointment of Directors (fully valid under UK law)</w:t>
      </w:r>
    </w:p>
    <w:p>
      <w:r>
        <w:rPr>
          <w:b w:val="0"/>
          <w:sz w:val="32"/>
        </w:rPr>
        <w:t>Draft clause: "Notwithstanding Model Article 17, for so long as Tom Deggs Ugbodaga holds any ordinary shares in the Company, he shall have the personal right, exercisable at any time by written notice to the Company, to appoint any person as an additional director of the Company, without requiring a board resolution or shareholder resolution. This is a personal right attached to Tom Deggs Ugbodaga individually while he remains a shareholder."</w:t>
      </w:r>
    </w:p>
    <w:p>
      <w:r>
        <w:rPr>
          <w:b w:val="0"/>
          <w:sz w:val="32"/>
        </w:rPr>
        <w:t>This works cleanly under UK company law - many private companies give a founder/majority shareholder a personal reserved right like this in the Articles.</w:t>
      </w:r>
    </w:p>
    <w:p>
      <w:pPr>
        <w:pStyle w:val="Heading1"/>
      </w:pPr>
      <w:r>
        <w:t>9.2 Removal of Directors (needs a weighted-voting structure, not a flat override)</w:t>
      </w:r>
    </w:p>
    <w:p>
      <w:r>
        <w:rPr>
          <w:b w:val="0"/>
          <w:sz w:val="32"/>
        </w:rPr>
        <w:t>Legal limitation: Companies Act 2006 section 168 gives ALL shareholders a statutory right to remove any director by ordinary resolution "notwithstanding any provision in the company's articles" - this specific right cannot be fully written away, even in bespoke Articles.</w:t>
      </w:r>
    </w:p>
    <w:p>
      <w:r>
        <w:rPr>
          <w:b w:val="0"/>
          <w:sz w:val="32"/>
        </w:rPr>
        <w:t>Standard UK workaround (the "Bushell v Faith clause", upheld by the House of Lords in Bushell v Faith [1970]): give Tom's shares weighted voting rights specifically on any resolution to remove a director - e.g. his shares carry 3x voting weight on removal resolutions only (normal 1x weight on everything else). Draft clause: "On any resolution proposed to remove a director from office under section 168 of the Companies Act 2006, each ordinary share held by Tom Deggs Ugbodaga shall carry three (3) votes instead of one, for so long as he remains a director of the Company. This weighted voting right does not apply to any other resolution."</w:t>
      </w:r>
    </w:p>
    <w:p>
      <w:r>
        <w:rPr>
          <w:b w:val="0"/>
          <w:sz w:val="32"/>
        </w:rPr>
        <w:t>Effect: at 50% shares with a 3x weighting specifically on removal votes, Tom effectively cannot be outvoted on any removal resolution (his own or another director's), giving him practical control matching his intent, while staying within what UK law actually permits.</w:t>
      </w:r>
    </w:p>
    <w:p>
      <w:pPr>
        <w:pStyle w:val="Heading1"/>
      </w:pPr>
      <w:r>
        <w:t>9.3 Important Caveat</w:t>
      </w:r>
    </w:p>
    <w:p>
      <w:r>
        <w:rPr>
          <w:b/>
          <w:sz w:val="32"/>
        </w:rPr>
        <w:t>Bespoke Articles carry more legal risk than Model Articles if drafted imprecisely - recommend a UK company solicitor reviews this exact wording before it is filed at incorporation (Articles are far harder/costlier to amend after the fact than to get right on day one). This draft is a strong starting point, not a substitute for that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