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COST OF BANDITRY AND KIDNAPPING IN NORTH-CENTRAL NIGERIA</w:t>
      </w:r>
    </w:p>
    <w:p>
      <w:r>
        <w:rPr>
          <w:b/>
          <w:sz w:val="26"/>
        </w:rPr>
        <w:t>1 March – 10 September 2026</w:t>
      </w:r>
    </w:p>
    <w:p>
      <w:r>
        <w:rPr>
          <w:i/>
          <w:sz w:val="20"/>
        </w:rPr>
        <w:t>Supporting statistics for BETONIQ WEST / AVM Morgan North-Central Security Summit speech materials. Compiled from press and open-source incident reporting; see Source column and verification note below.</w:t>
      </w:r>
    </w:p>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40"/>
        <w:gridCol w:w="1296"/>
        <w:gridCol w:w="3744"/>
        <w:gridCol w:w="1008"/>
        <w:gridCol w:w="1584"/>
        <w:gridCol w:w="1440"/>
        <w:gridCol w:w="1872"/>
      </w:tblGrid>
      <w:tr>
        <w:tc>
          <w:tcPr>
            <w:tcW w:type="dxa" w:w="1234"/>
            <w:shd w:val="clear" w:color="auto" w:fill="1B3A2B"/>
          </w:tcPr>
          <w:p>
            <w:pPr>
              <w:jc w:val="center"/>
            </w:pPr>
            <w:r>
              <w:rPr>
                <w:b/>
                <w:color w:val="FFFFFF"/>
                <w:sz w:val="21"/>
              </w:rPr>
              <w:t>State / Region</w:t>
            </w:r>
          </w:p>
        </w:tc>
        <w:tc>
          <w:tcPr>
            <w:tcW w:type="dxa" w:w="1234"/>
            <w:shd w:val="clear" w:color="auto" w:fill="1B3A2B"/>
          </w:tcPr>
          <w:p>
            <w:pPr>
              <w:jc w:val="center"/>
            </w:pPr>
            <w:r>
              <w:rPr>
                <w:b/>
                <w:color w:val="FFFFFF"/>
                <w:sz w:val="21"/>
              </w:rPr>
              <w:t>Period</w:t>
            </w:r>
          </w:p>
        </w:tc>
        <w:tc>
          <w:tcPr>
            <w:tcW w:type="dxa" w:w="1234"/>
            <w:shd w:val="clear" w:color="auto" w:fill="1B3A2B"/>
          </w:tcPr>
          <w:p>
            <w:pPr>
              <w:jc w:val="center"/>
            </w:pPr>
            <w:r>
              <w:rPr>
                <w:b/>
                <w:color w:val="FFFFFF"/>
                <w:sz w:val="21"/>
              </w:rPr>
              <w:t>Incident Details</w:t>
            </w:r>
          </w:p>
        </w:tc>
        <w:tc>
          <w:tcPr>
            <w:tcW w:type="dxa" w:w="1234"/>
            <w:shd w:val="clear" w:color="auto" w:fill="1B3A2B"/>
          </w:tcPr>
          <w:p>
            <w:pPr>
              <w:jc w:val="center"/>
            </w:pPr>
            <w:r>
              <w:rPr>
                <w:b/>
                <w:color w:val="FFFFFF"/>
                <w:sz w:val="21"/>
              </w:rPr>
              <w:t>Killed</w:t>
            </w:r>
          </w:p>
        </w:tc>
        <w:tc>
          <w:tcPr>
            <w:tcW w:type="dxa" w:w="1234"/>
            <w:shd w:val="clear" w:color="auto" w:fill="1B3A2B"/>
          </w:tcPr>
          <w:p>
            <w:pPr>
              <w:jc w:val="center"/>
            </w:pPr>
            <w:r>
              <w:rPr>
                <w:b/>
                <w:color w:val="FFFFFF"/>
                <w:sz w:val="21"/>
              </w:rPr>
              <w:t>Abducted / Held</w:t>
            </w:r>
          </w:p>
        </w:tc>
        <w:tc>
          <w:tcPr>
            <w:tcW w:type="dxa" w:w="1234"/>
            <w:shd w:val="clear" w:color="auto" w:fill="1B3A2B"/>
          </w:tcPr>
          <w:p>
            <w:pPr>
              <w:jc w:val="center"/>
            </w:pPr>
            <w:r>
              <w:rPr>
                <w:b/>
                <w:color w:val="FFFFFF"/>
                <w:sz w:val="21"/>
              </w:rPr>
              <w:t>Displaced</w:t>
            </w:r>
          </w:p>
        </w:tc>
        <w:tc>
          <w:tcPr>
            <w:tcW w:type="dxa" w:w="1234"/>
            <w:shd w:val="clear" w:color="auto" w:fill="1B3A2B"/>
          </w:tcPr>
          <w:p>
            <w:pPr>
              <w:jc w:val="center"/>
            </w:pPr>
            <w:r>
              <w:rPr>
                <w:b/>
                <w:color w:val="FFFFFF"/>
                <w:sz w:val="21"/>
              </w:rPr>
              <w:t>Source</w:t>
            </w:r>
          </w:p>
        </w:tc>
      </w:tr>
      <w:tr>
        <w:tc>
          <w:tcPr>
            <w:tcW w:type="dxa" w:w="1440"/>
          </w:tcPr>
          <w:p>
            <w:pPr>
              <w:jc w:val="left"/>
            </w:pPr>
            <w:r>
              <w:rPr>
                <w:sz w:val="20"/>
              </w:rPr>
              <w:t>Plateau State</w:t>
            </w:r>
          </w:p>
        </w:tc>
        <w:tc>
          <w:tcPr>
            <w:tcW w:type="dxa" w:w="1296"/>
          </w:tcPr>
          <w:p>
            <w:pPr>
              <w:jc w:val="left"/>
            </w:pPr>
            <w:r>
              <w:rPr>
                <w:sz w:val="20"/>
              </w:rPr>
              <w:t>May – 11 Jul 2026</w:t>
            </w:r>
          </w:p>
        </w:tc>
        <w:tc>
          <w:tcPr>
            <w:tcW w:type="dxa" w:w="3744"/>
          </w:tcPr>
          <w:p>
            <w:pPr>
              <w:jc w:val="left"/>
            </w:pPr>
            <w:r>
              <w:rPr>
                <w:sz w:val="20"/>
              </w:rPr>
              <w:t>Attacks across Barkin Ladi, Riyom, Bassa, Jos South, Pankshin and other LGAs (62 in May, 43 in June, 16 in first 11 days of July)</w:t>
            </w:r>
          </w:p>
        </w:tc>
        <w:tc>
          <w:tcPr>
            <w:tcW w:type="dxa" w:w="1008"/>
          </w:tcPr>
          <w:p>
            <w:pPr>
              <w:jc w:val="center"/>
            </w:pPr>
            <w:r>
              <w:rPr>
                <w:sz w:val="20"/>
              </w:rPr>
              <w:t>121</w:t>
            </w:r>
          </w:p>
        </w:tc>
        <w:tc>
          <w:tcPr>
            <w:tcW w:type="dxa" w:w="1584"/>
          </w:tcPr>
          <w:p>
            <w:pPr>
              <w:jc w:val="left"/>
            </w:pPr>
            <w:r>
              <w:rPr>
                <w:sz w:val="20"/>
              </w:rPr>
              <w:t>—</w:t>
            </w:r>
          </w:p>
        </w:tc>
        <w:tc>
          <w:tcPr>
            <w:tcW w:type="dxa" w:w="1440"/>
          </w:tcPr>
          <w:p>
            <w:pPr>
              <w:jc w:val="left"/>
            </w:pPr>
            <w:r>
              <w:rPr>
                <w:sz w:val="20"/>
              </w:rPr>
              <w:t>—</w:t>
            </w:r>
          </w:p>
        </w:tc>
        <w:tc>
          <w:tcPr>
            <w:tcW w:type="dxa" w:w="1872"/>
          </w:tcPr>
          <w:p>
            <w:pPr>
              <w:jc w:val="left"/>
            </w:pPr>
            <w:r>
              <w:rPr>
                <w:sz w:val="20"/>
              </w:rPr>
              <w:t>Berom Youth Moulders Association data, reviewed by HumAngle</w:t>
            </w:r>
          </w:p>
        </w:tc>
      </w:tr>
      <w:tr>
        <w:tc>
          <w:tcPr>
            <w:tcW w:type="dxa" w:w="1440"/>
          </w:tcPr>
          <w:p>
            <w:pPr>
              <w:jc w:val="left"/>
            </w:pPr>
            <w:r>
              <w:rPr>
                <w:sz w:val="20"/>
              </w:rPr>
              <w:t>Benue &amp; Plateau</w:t>
            </w:r>
          </w:p>
        </w:tc>
        <w:tc>
          <w:tcPr>
            <w:tcW w:type="dxa" w:w="1296"/>
          </w:tcPr>
          <w:p>
            <w:pPr>
              <w:jc w:val="left"/>
            </w:pPr>
            <w:r>
              <w:rPr>
                <w:sz w:val="20"/>
              </w:rPr>
              <w:t>Jul 2026 (single weekend)</w:t>
            </w:r>
          </w:p>
        </w:tc>
        <w:tc>
          <w:tcPr>
            <w:tcW w:type="dxa" w:w="3744"/>
          </w:tcPr>
          <w:p>
            <w:pPr>
              <w:jc w:val="left"/>
            </w:pPr>
            <w:r>
              <w:rPr>
                <w:sz w:val="20"/>
              </w:rPr>
              <w:t>Cross-state attacks; included killing of an entire family in Kum, Riyom LGA, Plateau</w:t>
            </w:r>
          </w:p>
        </w:tc>
        <w:tc>
          <w:tcPr>
            <w:tcW w:type="dxa" w:w="1008"/>
          </w:tcPr>
          <w:p>
            <w:pPr>
              <w:jc w:val="center"/>
            </w:pPr>
            <w:r>
              <w:rPr>
                <w:sz w:val="20"/>
              </w:rPr>
              <w:t>18+</w:t>
            </w:r>
          </w:p>
        </w:tc>
        <w:tc>
          <w:tcPr>
            <w:tcW w:type="dxa" w:w="1584"/>
          </w:tcPr>
          <w:p>
            <w:pPr>
              <w:jc w:val="left"/>
            </w:pPr>
            <w:r>
              <w:rPr>
                <w:sz w:val="20"/>
              </w:rPr>
              <w:t>—</w:t>
            </w:r>
          </w:p>
        </w:tc>
        <w:tc>
          <w:tcPr>
            <w:tcW w:type="dxa" w:w="1440"/>
          </w:tcPr>
          <w:p>
            <w:pPr>
              <w:jc w:val="left"/>
            </w:pPr>
            <w:r>
              <w:rPr>
                <w:sz w:val="20"/>
              </w:rPr>
              <w:t>—</w:t>
            </w:r>
          </w:p>
        </w:tc>
        <w:tc>
          <w:tcPr>
            <w:tcW w:type="dxa" w:w="1872"/>
          </w:tcPr>
          <w:p>
            <w:pPr>
              <w:jc w:val="left"/>
            </w:pPr>
            <w:r>
              <w:rPr>
                <w:sz w:val="20"/>
              </w:rPr>
              <w:t>HumAngle / local reporting</w:t>
            </w:r>
          </w:p>
        </w:tc>
      </w:tr>
      <w:tr>
        <w:tc>
          <w:tcPr>
            <w:tcW w:type="dxa" w:w="1440"/>
          </w:tcPr>
          <w:p>
            <w:pPr>
              <w:jc w:val="left"/>
            </w:pPr>
            <w:r>
              <w:rPr>
                <w:sz w:val="20"/>
              </w:rPr>
              <w:t>Niger State (Kpenya/Dekara, Borgu area)</w:t>
            </w:r>
          </w:p>
        </w:tc>
        <w:tc>
          <w:tcPr>
            <w:tcW w:type="dxa" w:w="1296"/>
          </w:tcPr>
          <w:p>
            <w:pPr>
              <w:jc w:val="left"/>
            </w:pPr>
            <w:r>
              <w:rPr>
                <w:sz w:val="20"/>
              </w:rPr>
              <w:t>Aug 2026</w:t>
            </w:r>
          </w:p>
        </w:tc>
        <w:tc>
          <w:tcPr>
            <w:tcW w:type="dxa" w:w="3744"/>
          </w:tcPr>
          <w:p>
            <w:pPr>
              <w:jc w:val="left"/>
            </w:pPr>
            <w:r>
              <w:rPr>
                <w:sz w:val="20"/>
              </w:rPr>
              <w:t>Mass abduction incident; separate video evidence reported by residents suggested a much larger number held (still being verified by authorities)</w:t>
            </w:r>
          </w:p>
        </w:tc>
        <w:tc>
          <w:tcPr>
            <w:tcW w:type="dxa" w:w="1008"/>
          </w:tcPr>
          <w:p>
            <w:pPr>
              <w:jc w:val="center"/>
            </w:pPr>
            <w:r>
              <w:rPr>
                <w:sz w:val="20"/>
              </w:rPr>
              <w:t>~30</w:t>
            </w:r>
          </w:p>
        </w:tc>
        <w:tc>
          <w:tcPr>
            <w:tcW w:type="dxa" w:w="1584"/>
          </w:tcPr>
          <w:p>
            <w:pPr>
              <w:jc w:val="left"/>
            </w:pPr>
            <w:r>
              <w:rPr>
                <w:sz w:val="20"/>
              </w:rPr>
              <w:t>60–80 (reported); ~600 unverified (video evidence)</w:t>
            </w:r>
          </w:p>
        </w:tc>
        <w:tc>
          <w:tcPr>
            <w:tcW w:type="dxa" w:w="1440"/>
          </w:tcPr>
          <w:p>
            <w:pPr>
              <w:jc w:val="left"/>
            </w:pPr>
            <w:r>
              <w:rPr>
                <w:sz w:val="20"/>
              </w:rPr>
              <w:t>~2,000 (toward Benin Republic border)</w:t>
            </w:r>
          </w:p>
        </w:tc>
        <w:tc>
          <w:tcPr>
            <w:tcW w:type="dxa" w:w="1872"/>
          </w:tcPr>
          <w:p>
            <w:pPr>
              <w:jc w:val="left"/>
            </w:pPr>
            <w:r>
              <w:rPr>
                <w:sz w:val="20"/>
              </w:rPr>
              <w:t>Local officials, cited by Reuters</w:t>
            </w:r>
          </w:p>
        </w:tc>
      </w:tr>
      <w:tr>
        <w:tc>
          <w:tcPr>
            <w:tcW w:type="dxa" w:w="1440"/>
          </w:tcPr>
          <w:p>
            <w:pPr>
              <w:jc w:val="left"/>
            </w:pPr>
            <w:r>
              <w:rPr>
                <w:sz w:val="20"/>
              </w:rPr>
              <w:t>National (all Nigeria)</w:t>
            </w:r>
          </w:p>
        </w:tc>
        <w:tc>
          <w:tcPr>
            <w:tcW w:type="dxa" w:w="1296"/>
          </w:tcPr>
          <w:p>
            <w:pPr>
              <w:jc w:val="left"/>
            </w:pPr>
            <w:r>
              <w:rPr>
                <w:sz w:val="20"/>
              </w:rPr>
              <w:t>Jul 2025 – Jun 2026</w:t>
            </w:r>
          </w:p>
        </w:tc>
        <w:tc>
          <w:tcPr>
            <w:tcW w:type="dxa" w:w="3744"/>
          </w:tcPr>
          <w:p>
            <w:pPr>
              <w:jc w:val="left"/>
            </w:pPr>
            <w:r>
              <w:rPr>
                <w:sz w:val="20"/>
              </w:rPr>
              <w:t>Nationwide kidnapping economy — not North-Central-specific, included for scale context</w:t>
            </w:r>
          </w:p>
        </w:tc>
        <w:tc>
          <w:tcPr>
            <w:tcW w:type="dxa" w:w="1008"/>
          </w:tcPr>
          <w:p>
            <w:pPr>
              <w:jc w:val="center"/>
            </w:pPr>
            <w:r>
              <w:rPr>
                <w:sz w:val="20"/>
              </w:rPr>
              <w:t>1,142+</w:t>
            </w:r>
          </w:p>
        </w:tc>
        <w:tc>
          <w:tcPr>
            <w:tcW w:type="dxa" w:w="1584"/>
          </w:tcPr>
          <w:p>
            <w:pPr>
              <w:jc w:val="left"/>
            </w:pPr>
            <w:r>
              <w:rPr>
                <w:sz w:val="20"/>
              </w:rPr>
              <w:t>7,825</w:t>
            </w:r>
          </w:p>
        </w:tc>
        <w:tc>
          <w:tcPr>
            <w:tcW w:type="dxa" w:w="1440"/>
          </w:tcPr>
          <w:p>
            <w:pPr>
              <w:jc w:val="left"/>
            </w:pPr>
            <w:r>
              <w:rPr>
                <w:sz w:val="20"/>
              </w:rPr>
              <w:t>—</w:t>
            </w:r>
          </w:p>
        </w:tc>
        <w:tc>
          <w:tcPr>
            <w:tcW w:type="dxa" w:w="1872"/>
          </w:tcPr>
          <w:p>
            <w:pPr>
              <w:jc w:val="left"/>
            </w:pPr>
            <w:r>
              <w:rPr>
                <w:sz w:val="20"/>
              </w:rPr>
              <w:t>SBM Intelligence</w:t>
            </w:r>
          </w:p>
        </w:tc>
      </w:tr>
    </w:tbl>
    <w:p/>
    <w:p>
      <w:r>
        <w:rPr>
          <w:b/>
          <w:sz w:val="22"/>
        </w:rPr>
        <w:t xml:space="preserve">Ransom payments (national, same period): </w:t>
      </w:r>
      <w:r>
        <w:rPr>
          <w:sz w:val="22"/>
        </w:rPr>
        <w:t>over ₦7.78 billion documented — Source: SBM Intelligence</w:t>
      </w:r>
    </w:p>
    <w:p/>
    <w:p>
      <w:pPr>
        <w:pStyle w:val="Heading2"/>
      </w:pPr>
      <w:r>
        <w:rPr>
          <w:sz w:val="26"/>
        </w:rPr>
        <w:t>What this means for North-Central Nigeria</w:t>
      </w:r>
    </w:p>
    <w:p>
      <w:r>
        <w:rPr>
          <w:sz w:val="22"/>
        </w:rPr>
        <w:t>The human cost above goes beyond deaths and abductions: it includes mass displacement, prolonged captivity, ransom payments, destroyed homes and livelihoods, disrupted farming and education, psychological trauma, and declining confidence in government protection. Plateau alone recorded 121 deaths in roughly two-and-a-half months, while the Niger State episode shows armed groups can remove hundreds of civilians in a single operation. For a 20-year North-Central development plan, this should be treated as a development emergency, not merely a law-and-order problem.</w:t>
      </w:r>
    </w:p>
    <w:p/>
    <w:p>
      <w:r>
        <w:rPr>
          <w:b/>
          <w:color w:val="A05A00"/>
          <w:sz w:val="21"/>
        </w:rPr>
        <w:t xml:space="preserve">Verification note: </w:t>
      </w:r>
      <w:r>
        <w:rPr>
          <w:i/>
          <w:sz w:val="21"/>
        </w:rPr>
        <w:t>figures above are as reported in the sources listed and have not yet been independently cross-checked against ACLED's raw event data. A full regional aggregate (summing Benue, Plateau, Niger, Nasarawa, Kogi, Kwara and FCT via ACLED/HumAngle) is in progress and will be added once available — treat the current figures as directionally correct but not yet fully audited.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